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3F6D" w14:textId="084D9F39" w:rsidR="00745684" w:rsidRDefault="00D7427C" w:rsidP="00745684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Nowe wyjaśnienia o kontroli inwestycji</w:t>
      </w:r>
    </w:p>
    <w:p w14:paraId="647E8375" w14:textId="74625AFB" w:rsidR="00745684" w:rsidRPr="00A41C3E" w:rsidRDefault="00EE7031" w:rsidP="00B41FDF">
      <w:pPr>
        <w:pStyle w:val="Akapitzlist"/>
        <w:numPr>
          <w:ilvl w:val="0"/>
          <w:numId w:val="24"/>
        </w:numPr>
        <w:spacing w:after="240" w:line="360" w:lineRule="auto"/>
        <w:jc w:val="both"/>
      </w:pPr>
      <w:r w:rsidRPr="00B41FDF">
        <w:rPr>
          <w:b/>
          <w:sz w:val="22"/>
        </w:rPr>
        <w:t xml:space="preserve">Prezes </w:t>
      </w:r>
      <w:r w:rsidR="00745684" w:rsidRPr="00B41FDF">
        <w:rPr>
          <w:b/>
          <w:sz w:val="22"/>
        </w:rPr>
        <w:t>UOKiK zaktualizował wyjaśnienia dotyczące zgłaszania transakcji w ramach kontroli inwestycji oraz działań urzędu w tym zakresie.</w:t>
      </w:r>
    </w:p>
    <w:p w14:paraId="64860ED8" w14:textId="7DE86832" w:rsidR="00745684" w:rsidRPr="00B31694" w:rsidRDefault="00C7305B" w:rsidP="00B41FDF">
      <w:pPr>
        <w:pStyle w:val="Akapitzlist"/>
        <w:numPr>
          <w:ilvl w:val="0"/>
          <w:numId w:val="24"/>
        </w:numPr>
        <w:spacing w:after="240" w:line="360" w:lineRule="auto"/>
        <w:jc w:val="both"/>
      </w:pPr>
      <w:r w:rsidRPr="00B41FDF">
        <w:rPr>
          <w:b/>
          <w:sz w:val="22"/>
        </w:rPr>
        <w:t>D</w:t>
      </w:r>
      <w:r w:rsidR="00745684" w:rsidRPr="00B41FDF">
        <w:rPr>
          <w:b/>
          <w:sz w:val="22"/>
        </w:rPr>
        <w:t>okument jest odpowiedzią na oczekiwania rynku, w tym biznesu i kancelarii prawnych.</w:t>
      </w:r>
    </w:p>
    <w:p w14:paraId="05F47187" w14:textId="77777777" w:rsidR="00745684" w:rsidRPr="00B41FDF" w:rsidRDefault="00745684" w:rsidP="00B41FDF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b/>
          <w:sz w:val="22"/>
        </w:rPr>
      </w:pPr>
      <w:r w:rsidRPr="00B41FDF">
        <w:rPr>
          <w:b/>
          <w:sz w:val="22"/>
        </w:rPr>
        <w:t>Nowe informacje dotyczą m.in. kwestii związanych z kontaktami przedsiębiorców z Komisją Europejską.</w:t>
      </w:r>
    </w:p>
    <w:p w14:paraId="0DB40197" w14:textId="78BBFBEC" w:rsidR="00745684" w:rsidRDefault="00745684" w:rsidP="00745684">
      <w:pPr>
        <w:spacing w:after="240" w:line="360" w:lineRule="auto"/>
        <w:jc w:val="both"/>
        <w:rPr>
          <w:sz w:val="22"/>
        </w:rPr>
      </w:pPr>
      <w:r w:rsidRPr="00174A43">
        <w:rPr>
          <w:b/>
          <w:sz w:val="22"/>
        </w:rPr>
        <w:t xml:space="preserve"> [Warszawa, </w:t>
      </w:r>
      <w:r w:rsidR="00D7427C">
        <w:rPr>
          <w:b/>
          <w:sz w:val="22"/>
        </w:rPr>
        <w:t>09 maja</w:t>
      </w:r>
      <w:r>
        <w:rPr>
          <w:b/>
          <w:sz w:val="22"/>
        </w:rPr>
        <w:t xml:space="preserve"> 2024 </w:t>
      </w:r>
      <w:r w:rsidRPr="00174A43">
        <w:rPr>
          <w:b/>
          <w:sz w:val="22"/>
        </w:rPr>
        <w:t>r.]</w:t>
      </w:r>
      <w:r w:rsidRPr="00174A43">
        <w:rPr>
          <w:sz w:val="22"/>
        </w:rPr>
        <w:t xml:space="preserve"> </w:t>
      </w:r>
      <w:r>
        <w:rPr>
          <w:sz w:val="22"/>
        </w:rPr>
        <w:t xml:space="preserve">Nowelizacja </w:t>
      </w:r>
      <w:hyperlink r:id="rId9" w:history="1">
        <w:r w:rsidRPr="00E6274A">
          <w:rPr>
            <w:rStyle w:val="Hipercze"/>
            <w:sz w:val="22"/>
          </w:rPr>
          <w:t>przepisów</w:t>
        </w:r>
      </w:hyperlink>
      <w:r>
        <w:rPr>
          <w:sz w:val="22"/>
        </w:rPr>
        <w:t xml:space="preserve"> dających Prezesowi UOKiK możliwość kontroli niektórych inwestycji weszła w życie w lipcu 2020 r. Celem nowych regulacji była ochrona przed przejęciem</w:t>
      </w:r>
      <w:r w:rsidRPr="00174A43">
        <w:rPr>
          <w:bCs/>
          <w:sz w:val="22"/>
        </w:rPr>
        <w:t xml:space="preserve"> polskich spółek ważnych </w:t>
      </w:r>
      <w:r w:rsidRPr="00174A43">
        <w:rPr>
          <w:sz w:val="22"/>
        </w:rPr>
        <w:t>dla porządku, bezpieczeństwa lub zdrowia publicznego</w:t>
      </w:r>
      <w:r>
        <w:rPr>
          <w:sz w:val="22"/>
        </w:rPr>
        <w:t xml:space="preserve"> przez podmioty spoza obszaru </w:t>
      </w:r>
      <w:r w:rsidRPr="00174A43">
        <w:rPr>
          <w:sz w:val="22"/>
        </w:rPr>
        <w:t xml:space="preserve">Unii Europejskiej, </w:t>
      </w:r>
      <w:r w:rsidRPr="003A20FD">
        <w:rPr>
          <w:sz w:val="22"/>
        </w:rPr>
        <w:t>Europejskiego Obszaru Gospodarczego (EOG)</w:t>
      </w:r>
      <w:r w:rsidRPr="00174A43">
        <w:rPr>
          <w:sz w:val="22"/>
        </w:rPr>
        <w:t xml:space="preserve"> oraz </w:t>
      </w:r>
      <w:r w:rsidRPr="003A20FD">
        <w:rPr>
          <w:sz w:val="22"/>
        </w:rPr>
        <w:t>Organizacji Współpracy Gospodarczej i Rozwoju (OECD)</w:t>
      </w:r>
      <w:r w:rsidRPr="00174A43">
        <w:rPr>
          <w:sz w:val="22"/>
        </w:rPr>
        <w:t xml:space="preserve">. To rozwiązanie wzorowane na przepisach </w:t>
      </w:r>
      <w:r>
        <w:rPr>
          <w:sz w:val="22"/>
        </w:rPr>
        <w:t>istniejących</w:t>
      </w:r>
      <w:r w:rsidRPr="00174A43">
        <w:rPr>
          <w:sz w:val="22"/>
        </w:rPr>
        <w:t xml:space="preserve"> </w:t>
      </w:r>
      <w:r>
        <w:rPr>
          <w:sz w:val="22"/>
        </w:rPr>
        <w:t xml:space="preserve">innych krajach, np. </w:t>
      </w:r>
      <w:r w:rsidRPr="00174A43">
        <w:rPr>
          <w:sz w:val="22"/>
        </w:rPr>
        <w:t>w Niemczech oraz Francji czy Włoszech.</w:t>
      </w:r>
      <w:r>
        <w:rPr>
          <w:sz w:val="22"/>
        </w:rPr>
        <w:t xml:space="preserve"> Dotychczas Prezes UOKiK prowadził</w:t>
      </w:r>
      <w:r w:rsidR="00174A7D">
        <w:rPr>
          <w:sz w:val="22"/>
        </w:rPr>
        <w:t xml:space="preserve"> 15</w:t>
      </w:r>
      <w:r>
        <w:rPr>
          <w:sz w:val="22"/>
        </w:rPr>
        <w:t xml:space="preserve"> postępowań w sprawach kontroli inwestycji.</w:t>
      </w:r>
    </w:p>
    <w:p w14:paraId="4DADC483" w14:textId="19C40204" w:rsidR="00745684" w:rsidRDefault="00745684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 wejściu w życie nowego prawa </w:t>
      </w:r>
      <w:r w:rsidR="00EE7031">
        <w:rPr>
          <w:sz w:val="22"/>
        </w:rPr>
        <w:t>Prezes UOKiK</w:t>
      </w:r>
      <w:r>
        <w:rPr>
          <w:sz w:val="22"/>
        </w:rPr>
        <w:t xml:space="preserve"> opublikował specjalny dokument dotyczący sposobu działania UOKiK i obowiązków przedsiębiorców. Można było w nim znaleźć m.in. informacje, kto </w:t>
      </w:r>
      <w:r w:rsidRPr="00174A43">
        <w:rPr>
          <w:sz w:val="22"/>
        </w:rPr>
        <w:t>ma obowiązek zgłoszenia transakcji, w jakich przypadkach i w jakim terminie</w:t>
      </w:r>
      <w:r>
        <w:rPr>
          <w:sz w:val="22"/>
        </w:rPr>
        <w:t>.</w:t>
      </w:r>
      <w:r w:rsidRPr="00174A43">
        <w:rPr>
          <w:sz w:val="22"/>
        </w:rPr>
        <w:t xml:space="preserve"> </w:t>
      </w:r>
      <w:r>
        <w:rPr>
          <w:sz w:val="22"/>
        </w:rPr>
        <w:t xml:space="preserve">Opracowanie obejmowało również kwestie </w:t>
      </w:r>
      <w:r w:rsidRPr="00174A43">
        <w:rPr>
          <w:sz w:val="22"/>
        </w:rPr>
        <w:t>dokument</w:t>
      </w:r>
      <w:r>
        <w:rPr>
          <w:sz w:val="22"/>
        </w:rPr>
        <w:t>ów, które n</w:t>
      </w:r>
      <w:r w:rsidRPr="00174A43">
        <w:rPr>
          <w:sz w:val="22"/>
        </w:rPr>
        <w:t xml:space="preserve">ależy złożyć, </w:t>
      </w:r>
      <w:r>
        <w:rPr>
          <w:sz w:val="22"/>
        </w:rPr>
        <w:t>sposobu prowadzenia postępowań oraz ewentualnych karach finansowych.</w:t>
      </w:r>
    </w:p>
    <w:p w14:paraId="1E58BA72" w14:textId="77777777" w:rsidR="00745684" w:rsidRPr="00926E56" w:rsidRDefault="00745684" w:rsidP="00745684">
      <w:pPr>
        <w:spacing w:after="240" w:line="360" w:lineRule="auto"/>
        <w:jc w:val="both"/>
        <w:rPr>
          <w:b/>
          <w:sz w:val="22"/>
        </w:rPr>
      </w:pPr>
      <w:r w:rsidRPr="00926E56">
        <w:rPr>
          <w:b/>
          <w:sz w:val="22"/>
        </w:rPr>
        <w:t>Co nowego?</w:t>
      </w:r>
    </w:p>
    <w:p w14:paraId="4CF56D9F" w14:textId="066BE770" w:rsidR="00745684" w:rsidRPr="00182E38" w:rsidRDefault="00745684" w:rsidP="00745684">
      <w:pPr>
        <w:spacing w:after="240" w:line="360" w:lineRule="auto"/>
        <w:jc w:val="both"/>
        <w:rPr>
          <w:sz w:val="22"/>
        </w:rPr>
      </w:pPr>
      <w:r w:rsidRPr="00182E38">
        <w:rPr>
          <w:sz w:val="22"/>
        </w:rPr>
        <w:t xml:space="preserve">Wyjaśnienia ułatwiły przedsiębiorcom złożenie wniosku o zgodę na transakcje i tym samym współpracę z </w:t>
      </w:r>
      <w:r>
        <w:rPr>
          <w:sz w:val="22"/>
        </w:rPr>
        <w:t>U</w:t>
      </w:r>
      <w:r w:rsidRPr="00182E38">
        <w:rPr>
          <w:sz w:val="22"/>
        </w:rPr>
        <w:t xml:space="preserve">rzędem. Dokument został obecnie zaktualizowany. Potrzeba zmian 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wynikała z </w:t>
      </w:r>
      <w:r>
        <w:rPr>
          <w:rFonts w:cs="Calibri"/>
          <w:color w:val="212121"/>
          <w:sz w:val="22"/>
          <w:shd w:val="clear" w:color="auto" w:fill="FFFFFF"/>
        </w:rPr>
        <w:t>konieczności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 wyjaśnienia wątpliwości interpretacyjnych i zapytań</w:t>
      </w:r>
      <w:r>
        <w:rPr>
          <w:rFonts w:cs="Calibri"/>
          <w:color w:val="212121"/>
          <w:sz w:val="22"/>
          <w:shd w:val="clear" w:color="auto" w:fill="FFFFFF"/>
        </w:rPr>
        <w:t xml:space="preserve"> od przedsiębiorców i ich pełnomocników 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 dotyczących kwestii proceduralnych</w:t>
      </w:r>
      <w:r>
        <w:rPr>
          <w:rFonts w:cs="Calibri"/>
          <w:color w:val="212121"/>
          <w:sz w:val="22"/>
          <w:shd w:val="clear" w:color="auto" w:fill="FFFFFF"/>
        </w:rPr>
        <w:t xml:space="preserve">. </w:t>
      </w:r>
      <w:r w:rsidRPr="00182E38">
        <w:rPr>
          <w:rFonts w:cs="Calibri"/>
          <w:color w:val="212121"/>
          <w:sz w:val="22"/>
          <w:shd w:val="clear" w:color="auto" w:fill="FFFFFF"/>
        </w:rPr>
        <w:t>Kilkuletnia</w:t>
      </w:r>
      <w:r>
        <w:rPr>
          <w:rFonts w:cs="Calibri"/>
          <w:color w:val="212121"/>
          <w:sz w:val="22"/>
          <w:shd w:val="clear" w:color="auto" w:fill="FFFFFF"/>
        </w:rPr>
        <w:t xml:space="preserve"> 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praktyka i zdobyte w tym zakresie doświadczenie skłoniło </w:t>
      </w:r>
      <w:r w:rsidR="00EE7031">
        <w:rPr>
          <w:rFonts w:cs="Calibri"/>
          <w:color w:val="212121"/>
          <w:sz w:val="22"/>
          <w:shd w:val="clear" w:color="auto" w:fill="FFFFFF"/>
        </w:rPr>
        <w:t xml:space="preserve">Prezesa </w:t>
      </w:r>
      <w:r w:rsidRPr="00182E38">
        <w:rPr>
          <w:rFonts w:cs="Calibri"/>
          <w:color w:val="212121"/>
          <w:sz w:val="22"/>
          <w:shd w:val="clear" w:color="auto" w:fill="FFFFFF"/>
        </w:rPr>
        <w:t>U</w:t>
      </w:r>
      <w:r>
        <w:rPr>
          <w:rFonts w:cs="Calibri"/>
          <w:color w:val="212121"/>
          <w:sz w:val="22"/>
          <w:shd w:val="clear" w:color="auto" w:fill="FFFFFF"/>
        </w:rPr>
        <w:t>OKiK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 do uzupełnienia wytycznych o zagadnienia </w:t>
      </w:r>
      <w:r>
        <w:rPr>
          <w:rFonts w:cs="Calibri"/>
          <w:color w:val="212121"/>
          <w:sz w:val="22"/>
          <w:shd w:val="clear" w:color="auto" w:fill="FFFFFF"/>
        </w:rPr>
        <w:t xml:space="preserve">związane </w:t>
      </w:r>
      <w:r w:rsidRPr="00182E38">
        <w:rPr>
          <w:rFonts w:cs="Calibri"/>
          <w:color w:val="212121"/>
          <w:sz w:val="22"/>
          <w:shd w:val="clear" w:color="auto" w:fill="FFFFFF"/>
        </w:rPr>
        <w:t>m.in. z obowiązkiem przesyłania do Komisji Europejskiej Formularza FDI, o którym przedsiębiorcy wciąż niewiele wiedzą. W szerszym zakresie poruszono kwestie związane z ustaleniem</w:t>
      </w:r>
      <w:r>
        <w:rPr>
          <w:rFonts w:cs="Calibri"/>
          <w:color w:val="212121"/>
          <w:sz w:val="22"/>
          <w:shd w:val="clear" w:color="auto" w:fill="FFFFFF"/>
        </w:rPr>
        <w:t xml:space="preserve">, kto ma 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obowiązek złożenia </w:t>
      </w:r>
      <w:r w:rsidR="00EE7031">
        <w:rPr>
          <w:rFonts w:cs="Calibri"/>
          <w:color w:val="212121"/>
          <w:sz w:val="22"/>
          <w:shd w:val="clear" w:color="auto" w:fill="FFFFFF"/>
        </w:rPr>
        <w:t>do</w:t>
      </w:r>
      <w:r w:rsidRPr="00182E38">
        <w:rPr>
          <w:rFonts w:cs="Calibri"/>
          <w:color w:val="212121"/>
          <w:sz w:val="22"/>
          <w:shd w:val="clear" w:color="auto" w:fill="FFFFFF"/>
        </w:rPr>
        <w:t xml:space="preserve"> UOKiK zawiadomienia o planowanej inwestycji. </w:t>
      </w:r>
      <w:r w:rsidRPr="00182E38">
        <w:rPr>
          <w:rFonts w:cs="Calibri"/>
          <w:color w:val="212121"/>
          <w:sz w:val="22"/>
          <w:shd w:val="clear" w:color="auto" w:fill="FFFFFF"/>
        </w:rPr>
        <w:lastRenderedPageBreak/>
        <w:t xml:space="preserve">Ponadto uzupełniono informacje na temat zagadnień proceduralnych i  praktycznych, w tym w szczególności obowiązku legalizacji zagranicznych dokumentów urzędowych. </w:t>
      </w:r>
    </w:p>
    <w:p w14:paraId="7E7B4E2A" w14:textId="77777777" w:rsidR="00745684" w:rsidRPr="00393699" w:rsidRDefault="00745684" w:rsidP="00745684">
      <w:pPr>
        <w:spacing w:after="240" w:line="360" w:lineRule="auto"/>
        <w:jc w:val="both"/>
        <w:rPr>
          <w:b/>
          <w:bCs/>
          <w:sz w:val="22"/>
        </w:rPr>
      </w:pPr>
      <w:r w:rsidRPr="00393699">
        <w:rPr>
          <w:b/>
          <w:bCs/>
          <w:sz w:val="22"/>
        </w:rPr>
        <w:t>Czym jest kontrola inwestycji</w:t>
      </w:r>
    </w:p>
    <w:p w14:paraId="5B72A68E" w14:textId="77777777" w:rsidR="00745684" w:rsidRPr="00174A43" w:rsidRDefault="00745684" w:rsidP="00745684">
      <w:pPr>
        <w:spacing w:after="240" w:line="360" w:lineRule="auto"/>
        <w:jc w:val="both"/>
        <w:rPr>
          <w:sz w:val="22"/>
        </w:rPr>
      </w:pPr>
      <w:r w:rsidRPr="00174A43">
        <w:rPr>
          <w:sz w:val="22"/>
        </w:rPr>
        <w:t xml:space="preserve">Zgodnie z nowelizacją ustawy o </w:t>
      </w:r>
      <w:hyperlink r:id="rId10" w:history="1">
        <w:r w:rsidRPr="00192F17">
          <w:rPr>
            <w:rStyle w:val="Hipercze"/>
            <w:sz w:val="22"/>
          </w:rPr>
          <w:t>kontroli niektórych inwestycji</w:t>
        </w:r>
      </w:hyperlink>
      <w:r w:rsidRPr="00174A43">
        <w:rPr>
          <w:sz w:val="22"/>
        </w:rPr>
        <w:t xml:space="preserve"> Prezes UOKiK </w:t>
      </w:r>
      <w:r>
        <w:rPr>
          <w:sz w:val="22"/>
        </w:rPr>
        <w:t>ma</w:t>
      </w:r>
      <w:r w:rsidRPr="00174A43">
        <w:rPr>
          <w:sz w:val="22"/>
        </w:rPr>
        <w:t xml:space="preserve"> możliwość ochrony podmiotów mających siedzibę w Polsce, kluczowych dla zachowania bezpieczeństwa, porządku i zdrowia publicznego m.in.: </w:t>
      </w:r>
    </w:p>
    <w:p w14:paraId="586C74D2" w14:textId="77777777" w:rsidR="00745684" w:rsidRPr="00174A43" w:rsidRDefault="00745684" w:rsidP="00745684">
      <w:pPr>
        <w:pStyle w:val="Akapitzlist"/>
        <w:numPr>
          <w:ilvl w:val="0"/>
          <w:numId w:val="22"/>
        </w:numPr>
        <w:spacing w:after="240" w:line="360" w:lineRule="auto"/>
        <w:ind w:left="360"/>
        <w:jc w:val="both"/>
        <w:rPr>
          <w:sz w:val="22"/>
        </w:rPr>
      </w:pPr>
      <w:r w:rsidRPr="00174A43">
        <w:rPr>
          <w:sz w:val="22"/>
        </w:rPr>
        <w:t xml:space="preserve">prowadzących działalność gospodarczą związaną z: energią elektryczną, gazem, paliwami, telekomunikacją, przetwórstwem żywności, produkcją leków, chemikaliów i nawozów, materiałami wybuchowymi, bronią i amunicją oraz wyrobami technologii o przeznaczeniu wojskowym lub policyjnym; </w:t>
      </w:r>
    </w:p>
    <w:p w14:paraId="53CA70F5" w14:textId="01047313" w:rsidR="00745684" w:rsidRPr="00174A43" w:rsidRDefault="00745684" w:rsidP="00745684">
      <w:pPr>
        <w:pStyle w:val="Akapitzlist"/>
        <w:numPr>
          <w:ilvl w:val="0"/>
          <w:numId w:val="22"/>
        </w:numPr>
        <w:spacing w:after="240" w:line="360" w:lineRule="auto"/>
        <w:ind w:left="360"/>
        <w:jc w:val="both"/>
        <w:rPr>
          <w:sz w:val="22"/>
        </w:rPr>
      </w:pPr>
      <w:r w:rsidRPr="00174A43">
        <w:rPr>
          <w:sz w:val="22"/>
        </w:rPr>
        <w:t>tworzących oprogramowanie wykorzystywane w usługach podstawowych dla społeczeństwa, takich jak: energia, paliwa, zaopatrzenie w wodę, zaopatrzenie w gotówkę, płatności kartą, szpitale, sprzedaż leków na receptę, transport oraz zaopatrzenie w żywność</w:t>
      </w:r>
      <w:r w:rsidR="00E6483F">
        <w:rPr>
          <w:sz w:val="22"/>
        </w:rPr>
        <w:t>;</w:t>
      </w:r>
    </w:p>
    <w:p w14:paraId="185C4A96" w14:textId="756E9F54" w:rsidR="00745684" w:rsidRPr="00174A43" w:rsidRDefault="00745684" w:rsidP="00745684">
      <w:pPr>
        <w:pStyle w:val="Akapitzlist"/>
        <w:numPr>
          <w:ilvl w:val="0"/>
          <w:numId w:val="22"/>
        </w:numPr>
        <w:spacing w:after="240" w:line="360" w:lineRule="auto"/>
        <w:ind w:left="360"/>
        <w:jc w:val="both"/>
        <w:rPr>
          <w:sz w:val="22"/>
        </w:rPr>
      </w:pPr>
      <w:r w:rsidRPr="00174A43">
        <w:rPr>
          <w:sz w:val="22"/>
        </w:rPr>
        <w:t>spółek publicznych bez względu na rodzaj i branżę prowadzonej działalności</w:t>
      </w:r>
      <w:r w:rsidR="00B41FDF">
        <w:rPr>
          <w:sz w:val="22"/>
        </w:rPr>
        <w:t>.</w:t>
      </w:r>
    </w:p>
    <w:p w14:paraId="27A61F54" w14:textId="77777777" w:rsidR="00745684" w:rsidRPr="00B41FDF" w:rsidRDefault="00745684" w:rsidP="00B41FDF">
      <w:pPr>
        <w:spacing w:after="240" w:line="360" w:lineRule="auto"/>
        <w:jc w:val="both"/>
        <w:rPr>
          <w:sz w:val="22"/>
        </w:rPr>
      </w:pPr>
      <w:r w:rsidRPr="00B41FDF">
        <w:rPr>
          <w:sz w:val="22"/>
        </w:rPr>
        <w:t>Warunkiem ochrony jest również odpowiednio wysoki przychód firmy – musi on przekroczyć w Polsce równowartość 10 mln euro w jednym z dwóch lat obrotowych poprzedzających chęć przejęcia.</w:t>
      </w:r>
    </w:p>
    <w:p w14:paraId="2B0CB441" w14:textId="77777777" w:rsidR="00745684" w:rsidRPr="00174A43" w:rsidRDefault="00745684" w:rsidP="00745684">
      <w:pPr>
        <w:spacing w:after="240" w:line="360" w:lineRule="auto"/>
        <w:jc w:val="both"/>
        <w:rPr>
          <w:b/>
          <w:sz w:val="22"/>
        </w:rPr>
      </w:pPr>
      <w:r w:rsidRPr="00174A43">
        <w:rPr>
          <w:b/>
          <w:sz w:val="22"/>
        </w:rPr>
        <w:t>Kto musi zgłosić się do UOKiK</w:t>
      </w:r>
    </w:p>
    <w:p w14:paraId="216BFA2E" w14:textId="77777777" w:rsidR="00745684" w:rsidRPr="004D52FA" w:rsidRDefault="00745684" w:rsidP="00745684">
      <w:pPr>
        <w:spacing w:after="240" w:line="360" w:lineRule="auto"/>
        <w:jc w:val="both"/>
        <w:rPr>
          <w:sz w:val="22"/>
        </w:rPr>
      </w:pPr>
      <w:r w:rsidRPr="00174A43">
        <w:rPr>
          <w:sz w:val="22"/>
        </w:rPr>
        <w:t>Obowiązek zgłoszenia do UOKiK dotyczy</w:t>
      </w:r>
      <w:r>
        <w:rPr>
          <w:sz w:val="22"/>
        </w:rPr>
        <w:t xml:space="preserve"> </w:t>
      </w:r>
      <w:r w:rsidRPr="00174A43">
        <w:rPr>
          <w:sz w:val="22"/>
        </w:rPr>
        <w:t xml:space="preserve">transakcji skutkujących nabyciem, osiągnięciem znaczącego uczestnictwa lub nabyciem dominacji dokonywanych przez podmioty z siedzibą lub obywatelstwem (dla osób fizycznych) poza krajem członkowskim Unii Europejskiej, </w:t>
      </w:r>
      <w:hyperlink r:id="rId11" w:history="1">
        <w:r w:rsidRPr="00174A43">
          <w:rPr>
            <w:rStyle w:val="Hipercze"/>
            <w:sz w:val="22"/>
          </w:rPr>
          <w:t>Europejskiego Obszaru Gospodarczego (EOG)</w:t>
        </w:r>
      </w:hyperlink>
      <w:r w:rsidRPr="00174A43">
        <w:rPr>
          <w:sz w:val="22"/>
        </w:rPr>
        <w:t xml:space="preserve"> oraz </w:t>
      </w:r>
      <w:hyperlink r:id="rId12" w:history="1">
        <w:r w:rsidRPr="004D52FA">
          <w:rPr>
            <w:rStyle w:val="Hipercze"/>
            <w:sz w:val="22"/>
          </w:rPr>
          <w:t>Organizacji Współpracy Gospodarczej i Rozwoju (OECD)</w:t>
        </w:r>
      </w:hyperlink>
      <w:r w:rsidRPr="004D52FA">
        <w:rPr>
          <w:sz w:val="22"/>
        </w:rPr>
        <w:t xml:space="preserve">. </w:t>
      </w:r>
    </w:p>
    <w:p w14:paraId="46698503" w14:textId="77777777" w:rsidR="00745684" w:rsidRPr="004D52FA" w:rsidRDefault="00745684" w:rsidP="00745684">
      <w:pPr>
        <w:pStyle w:val="Akapitzlist"/>
        <w:spacing w:after="240" w:line="360" w:lineRule="auto"/>
        <w:ind w:left="0"/>
        <w:jc w:val="both"/>
        <w:rPr>
          <w:b/>
          <w:sz w:val="22"/>
        </w:rPr>
      </w:pPr>
      <w:r w:rsidRPr="004D52FA">
        <w:rPr>
          <w:b/>
          <w:sz w:val="22"/>
        </w:rPr>
        <w:t>Dwie fazy postępowania</w:t>
      </w:r>
    </w:p>
    <w:p w14:paraId="592096CF" w14:textId="77777777" w:rsidR="00745684" w:rsidRPr="004D52FA" w:rsidRDefault="00745684" w:rsidP="00745684">
      <w:pPr>
        <w:spacing w:after="240" w:line="360" w:lineRule="auto"/>
        <w:jc w:val="both"/>
        <w:rPr>
          <w:sz w:val="22"/>
        </w:rPr>
      </w:pPr>
      <w:r w:rsidRPr="004D52FA">
        <w:rPr>
          <w:bCs/>
          <w:sz w:val="22"/>
        </w:rPr>
        <w:t xml:space="preserve">Postępowanie </w:t>
      </w:r>
      <w:r>
        <w:rPr>
          <w:bCs/>
          <w:sz w:val="22"/>
        </w:rPr>
        <w:t xml:space="preserve">jest </w:t>
      </w:r>
      <w:r w:rsidRPr="004D52FA">
        <w:rPr>
          <w:bCs/>
          <w:sz w:val="22"/>
        </w:rPr>
        <w:t xml:space="preserve">podzielone na dwie fazy, podobnie jak w przypadku spraw dotyczących kontroli koncentracji. Pierwszym etapem </w:t>
      </w:r>
      <w:r>
        <w:rPr>
          <w:bCs/>
          <w:sz w:val="22"/>
        </w:rPr>
        <w:t xml:space="preserve">jest </w:t>
      </w:r>
      <w:r w:rsidRPr="004D52FA">
        <w:rPr>
          <w:b/>
          <w:bCs/>
          <w:sz w:val="22"/>
        </w:rPr>
        <w:t>wstępne postępowanie sprawdzające</w:t>
      </w:r>
      <w:r w:rsidRPr="004D52FA">
        <w:rPr>
          <w:bCs/>
          <w:sz w:val="22"/>
        </w:rPr>
        <w:t xml:space="preserve">, które ma służyć rozdzieleniu spraw na proste i niewymagające dalszych czynności kontrolnych od </w:t>
      </w:r>
      <w:r w:rsidRPr="004D52FA">
        <w:rPr>
          <w:bCs/>
          <w:sz w:val="22"/>
        </w:rPr>
        <w:lastRenderedPageBreak/>
        <w:t xml:space="preserve">bardziej skomplikowanych. Ta faza </w:t>
      </w:r>
      <w:r>
        <w:rPr>
          <w:bCs/>
          <w:sz w:val="22"/>
        </w:rPr>
        <w:t>trwa</w:t>
      </w:r>
      <w:r w:rsidRPr="004D52FA">
        <w:rPr>
          <w:bCs/>
          <w:sz w:val="22"/>
        </w:rPr>
        <w:t xml:space="preserve"> maksymalnie do 30 dni</w:t>
      </w:r>
      <w:r>
        <w:rPr>
          <w:bCs/>
          <w:sz w:val="22"/>
        </w:rPr>
        <w:t xml:space="preserve">, po których </w:t>
      </w:r>
      <w:r w:rsidRPr="004D52FA">
        <w:rPr>
          <w:sz w:val="22"/>
        </w:rPr>
        <w:t xml:space="preserve">Prezes UOKiK </w:t>
      </w:r>
      <w:r>
        <w:rPr>
          <w:sz w:val="22"/>
        </w:rPr>
        <w:t>może wydać</w:t>
      </w:r>
      <w:r w:rsidRPr="004D52FA">
        <w:rPr>
          <w:sz w:val="22"/>
        </w:rPr>
        <w:t xml:space="preserve"> decyzję o braku sprzeciwu. </w:t>
      </w:r>
    </w:p>
    <w:p w14:paraId="5246716B" w14:textId="77777777" w:rsidR="00745684" w:rsidRPr="00C7305B" w:rsidRDefault="00745684" w:rsidP="00745684">
      <w:pPr>
        <w:pStyle w:val="Akapitzlist"/>
        <w:spacing w:after="240" w:line="360" w:lineRule="auto"/>
        <w:ind w:left="0"/>
        <w:jc w:val="both"/>
        <w:rPr>
          <w:rStyle w:val="Ppogrubienie"/>
          <w:rFonts w:ascii="Trebuchet MS" w:hAnsi="Trebuchet MS"/>
          <w:b w:val="0"/>
          <w:color w:val="000000" w:themeColor="text1"/>
          <w:sz w:val="22"/>
        </w:rPr>
      </w:pPr>
      <w:r>
        <w:rPr>
          <w:sz w:val="22"/>
        </w:rPr>
        <w:t>Do</w:t>
      </w:r>
      <w:r w:rsidRPr="004D52FA">
        <w:rPr>
          <w:bCs/>
          <w:color w:val="000000" w:themeColor="text1"/>
          <w:sz w:val="22"/>
        </w:rPr>
        <w:t xml:space="preserve"> właściwego postępowania kontrolnego </w:t>
      </w:r>
      <w:r>
        <w:rPr>
          <w:bCs/>
          <w:color w:val="000000" w:themeColor="text1"/>
          <w:sz w:val="22"/>
        </w:rPr>
        <w:t>(faza druga) kierowane mogą być</w:t>
      </w:r>
      <w:r w:rsidRPr="004D52FA">
        <w:rPr>
          <w:bCs/>
          <w:color w:val="000000" w:themeColor="text1"/>
          <w:sz w:val="22"/>
        </w:rPr>
        <w:t xml:space="preserve"> </w:t>
      </w:r>
      <w:r>
        <w:rPr>
          <w:bCs/>
          <w:color w:val="000000" w:themeColor="text1"/>
          <w:sz w:val="22"/>
        </w:rPr>
        <w:t>wyłącznie s</w:t>
      </w:r>
      <w:r w:rsidRPr="004D52FA">
        <w:rPr>
          <w:bCs/>
          <w:color w:val="000000" w:themeColor="text1"/>
          <w:sz w:val="22"/>
        </w:rPr>
        <w:t xml:space="preserve">prawy, które mogą powodować </w:t>
      </w:r>
      <w:r>
        <w:rPr>
          <w:bCs/>
          <w:color w:val="000000" w:themeColor="text1"/>
          <w:sz w:val="22"/>
        </w:rPr>
        <w:t xml:space="preserve">poważne </w:t>
      </w:r>
      <w:r w:rsidRPr="004D52FA">
        <w:rPr>
          <w:bCs/>
          <w:color w:val="000000" w:themeColor="text1"/>
          <w:sz w:val="22"/>
        </w:rPr>
        <w:t>zagrożenie dla</w:t>
      </w:r>
      <w:r w:rsidRPr="004D52FA">
        <w:rPr>
          <w:b/>
          <w:bCs/>
          <w:color w:val="000000" w:themeColor="text1"/>
          <w:sz w:val="22"/>
        </w:rPr>
        <w:t xml:space="preserve"> </w:t>
      </w:r>
      <w:r w:rsidRPr="00C7305B">
        <w:rPr>
          <w:rStyle w:val="Ppogrubienie"/>
          <w:rFonts w:ascii="Trebuchet MS" w:hAnsi="Trebuchet MS"/>
          <w:b w:val="0"/>
          <w:color w:val="000000" w:themeColor="text1"/>
          <w:sz w:val="22"/>
        </w:rPr>
        <w:t xml:space="preserve">porządku publicznego, bezpieczeństwa publicznego lub zdrowia publicznego. Wyjaśnienia precyzują, że dotyczy to </w:t>
      </w:r>
      <w:r w:rsidRPr="00C7305B">
        <w:rPr>
          <w:rStyle w:val="Ppogrubienie"/>
          <w:rFonts w:ascii="Trebuchet MS" w:hAnsi="Trebuchet MS"/>
          <w:b w:val="0"/>
          <w:sz w:val="22"/>
        </w:rPr>
        <w:t>sytuacji, gdzie dla przedsiębiorstwa istotnego z punktu widzenia interesu publicznego istnieje np. ryzyko wyprowadzenia produkcji za granicę, zamknięcia zakładu, wyprowadzenia technologii lub zagrożenia w inny sposób działalności prowadzonej przez ten podmiot.</w:t>
      </w:r>
      <w:r w:rsidRPr="00C7305B">
        <w:rPr>
          <w:rStyle w:val="Ppogrubienie"/>
          <w:rFonts w:ascii="Trebuchet MS" w:hAnsi="Trebuchet MS"/>
          <w:b w:val="0"/>
          <w:color w:val="000000" w:themeColor="text1"/>
          <w:sz w:val="22"/>
        </w:rPr>
        <w:t xml:space="preserve"> Ten etap postępowania trwa maksymalnie 120 dni.</w:t>
      </w:r>
    </w:p>
    <w:p w14:paraId="7379F720" w14:textId="77777777" w:rsidR="00745684" w:rsidRPr="00C7305B" w:rsidRDefault="00745684" w:rsidP="00745684">
      <w:pPr>
        <w:pStyle w:val="Akapitzlist"/>
        <w:spacing w:after="240" w:line="360" w:lineRule="auto"/>
        <w:ind w:left="0"/>
        <w:jc w:val="both"/>
        <w:rPr>
          <w:rStyle w:val="Ppogrubienie"/>
          <w:rFonts w:ascii="Trebuchet MS" w:hAnsi="Trebuchet MS"/>
          <w:b w:val="0"/>
          <w:color w:val="000000" w:themeColor="text1"/>
          <w:sz w:val="22"/>
        </w:rPr>
      </w:pPr>
    </w:p>
    <w:p w14:paraId="290A7DFD" w14:textId="77777777" w:rsidR="00745684" w:rsidRPr="00174A43" w:rsidRDefault="00745684" w:rsidP="00745684">
      <w:pPr>
        <w:pStyle w:val="Akapitzlist"/>
        <w:spacing w:after="240" w:line="360" w:lineRule="auto"/>
        <w:ind w:left="0"/>
        <w:jc w:val="both"/>
        <w:rPr>
          <w:color w:val="000000" w:themeColor="text1"/>
          <w:sz w:val="22"/>
        </w:rPr>
      </w:pPr>
      <w:r w:rsidRPr="00174A43">
        <w:rPr>
          <w:rStyle w:val="Ppogrubienie"/>
          <w:rFonts w:ascii="Trebuchet MS" w:hAnsi="Trebuchet MS"/>
          <w:color w:val="000000" w:themeColor="text1"/>
          <w:sz w:val="22"/>
        </w:rPr>
        <w:t>Sankcje</w:t>
      </w:r>
    </w:p>
    <w:p w14:paraId="12901407" w14:textId="77777777" w:rsidR="00745684" w:rsidRPr="00174A43" w:rsidRDefault="00745684" w:rsidP="0074568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Osiągnię</w:t>
      </w:r>
      <w:r w:rsidRPr="00174A43">
        <w:rPr>
          <w:color w:val="000000" w:themeColor="text1"/>
          <w:sz w:val="22"/>
        </w:rPr>
        <w:t xml:space="preserve">cie lub nabycie znaczącego uczestnictwa czy dominacji w przedsiębiorcy podlegającym ochronie bez złożenia zawiadomienia lub pomimo sprzeciwu Prezesa UOKiK </w:t>
      </w:r>
      <w:r>
        <w:rPr>
          <w:color w:val="000000" w:themeColor="text1"/>
          <w:sz w:val="22"/>
        </w:rPr>
        <w:t>jest</w:t>
      </w:r>
      <w:r w:rsidRPr="00174A43">
        <w:rPr>
          <w:color w:val="000000" w:themeColor="text1"/>
          <w:sz w:val="22"/>
        </w:rPr>
        <w:t xml:space="preserve"> nieważne z mocy prawa. </w:t>
      </w:r>
      <w:r>
        <w:rPr>
          <w:color w:val="000000" w:themeColor="text1"/>
          <w:sz w:val="22"/>
        </w:rPr>
        <w:t>Grozi</w:t>
      </w:r>
      <w:r w:rsidRPr="00174A43">
        <w:rPr>
          <w:color w:val="000000" w:themeColor="text1"/>
          <w:sz w:val="22"/>
        </w:rPr>
        <w:t xml:space="preserve"> za to również kara grzywny w wysokości do 50 mln zł oraz kara pozbawienia wolności od 6 miesięcy do 5 lat. Sankcje będą</w:t>
      </w:r>
      <w:r>
        <w:rPr>
          <w:color w:val="000000" w:themeColor="text1"/>
          <w:sz w:val="22"/>
        </w:rPr>
        <w:t xml:space="preserve"> mogą także</w:t>
      </w:r>
      <w:r w:rsidRPr="00174A43">
        <w:rPr>
          <w:color w:val="000000" w:themeColor="text1"/>
          <w:sz w:val="22"/>
        </w:rPr>
        <w:t xml:space="preserve"> zostać orzeczone łącznie.</w:t>
      </w:r>
    </w:p>
    <w:p w14:paraId="3C5CFE1A" w14:textId="77777777" w:rsidR="00745684" w:rsidRDefault="00745684" w:rsidP="00745684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</w:t>
      </w:r>
      <w:r w:rsidRPr="00174A43">
        <w:rPr>
          <w:rFonts w:ascii="Trebuchet MS" w:hAnsi="Trebuchet MS"/>
          <w:sz w:val="22"/>
          <w:szCs w:val="22"/>
        </w:rPr>
        <w:t>arę grzywny, pozbawienia wolności albo obie te kary może nałożyć wyłącznie sąd powszechny. Prezes UOKiK jako organ kontroli może natomiast wnioskować o nałożenie tych kar.</w:t>
      </w:r>
    </w:p>
    <w:p w14:paraId="568CEFB4" w14:textId="77777777" w:rsidR="00745684" w:rsidRPr="00265A1A" w:rsidRDefault="00745684" w:rsidP="00745684">
      <w:pPr>
        <w:pStyle w:val="NormalnyWeb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65A1A">
        <w:rPr>
          <w:rFonts w:ascii="Trebuchet MS" w:hAnsi="Trebuchet MS"/>
          <w:b/>
          <w:sz w:val="22"/>
          <w:szCs w:val="22"/>
        </w:rPr>
        <w:t>Prezes UOKiK nie zasięga opinii Komitetu Konsultacyjnego</w:t>
      </w:r>
    </w:p>
    <w:p w14:paraId="77D4B86F" w14:textId="7E6432D1" w:rsidR="00745684" w:rsidRPr="00192F17" w:rsidRDefault="00745684" w:rsidP="00745684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192F17">
        <w:rPr>
          <w:rFonts w:ascii="Trebuchet MS" w:hAnsi="Trebuchet MS"/>
          <w:sz w:val="22"/>
          <w:szCs w:val="22"/>
        </w:rPr>
        <w:t>Co ważne, ustawa o kontroli niektórych inwestycji nie prz</w:t>
      </w:r>
      <w:r>
        <w:rPr>
          <w:rFonts w:ascii="Trebuchet MS" w:hAnsi="Trebuchet MS"/>
          <w:sz w:val="22"/>
          <w:szCs w:val="22"/>
        </w:rPr>
        <w:t>e</w:t>
      </w:r>
      <w:r w:rsidRPr="00192F17">
        <w:rPr>
          <w:rFonts w:ascii="Trebuchet MS" w:hAnsi="Trebuchet MS"/>
          <w:sz w:val="22"/>
          <w:szCs w:val="22"/>
        </w:rPr>
        <w:t xml:space="preserve">widuje procedury uzyskania opinii Komitetu Konsultacyjnego przez Prezesa UOKiK. Taki obowiązek </w:t>
      </w:r>
      <w:r w:rsidRPr="00192F17">
        <w:rPr>
          <w:rFonts w:ascii="Trebuchet MS" w:hAnsi="Trebuchet MS"/>
          <w:sz w:val="22"/>
        </w:rPr>
        <w:t>odnosi się wyłącznie do decyzji wydawanych przez Ministra Aktywów Państwowych, Ministra Obrony oraz Ministra właściwego do spraw gospodarki</w:t>
      </w:r>
      <w:r w:rsidR="000A7DF6">
        <w:rPr>
          <w:rFonts w:ascii="Trebuchet MS" w:hAnsi="Trebuchet MS"/>
          <w:sz w:val="22"/>
        </w:rPr>
        <w:t xml:space="preserve"> morskiej</w:t>
      </w:r>
      <w:bookmarkStart w:id="0" w:name="_GoBack"/>
      <w:bookmarkEnd w:id="0"/>
      <w:r w:rsidRPr="00192F17">
        <w:rPr>
          <w:rFonts w:ascii="Trebuchet MS" w:hAnsi="Trebuchet MS"/>
          <w:sz w:val="22"/>
        </w:rPr>
        <w:t>.</w:t>
      </w:r>
    </w:p>
    <w:p w14:paraId="36B477AE" w14:textId="77777777" w:rsidR="00745684" w:rsidRPr="00192F17" w:rsidRDefault="00745684" w:rsidP="00745684">
      <w:pPr>
        <w:spacing w:after="240" w:line="360" w:lineRule="auto"/>
        <w:jc w:val="both"/>
        <w:rPr>
          <w:i/>
          <w:sz w:val="22"/>
        </w:rPr>
      </w:pPr>
      <w:r w:rsidRPr="00192F17">
        <w:rPr>
          <w:sz w:val="22"/>
        </w:rPr>
        <w:t xml:space="preserve">Zaktualizowany dokument </w:t>
      </w:r>
      <w:r w:rsidRPr="00192F17">
        <w:rPr>
          <w:i/>
          <w:sz w:val="22"/>
        </w:rPr>
        <w:t xml:space="preserve">Wyjaśnienia proceduralne w sprawie składania Prezesowi UOKiK zawiadomień oraz prowadzenia postępowań objętych zakresem ustawy o kontroli inwestycji </w:t>
      </w:r>
      <w:r w:rsidRPr="00192F17">
        <w:rPr>
          <w:sz w:val="22"/>
        </w:rPr>
        <w:t>można znaleźć i pobrać na stronie UOKiK.</w:t>
      </w:r>
    </w:p>
    <w:p w14:paraId="446023B4" w14:textId="77777777" w:rsidR="00745684" w:rsidRPr="00174A43" w:rsidRDefault="00745684" w:rsidP="00745684">
      <w:pPr>
        <w:spacing w:after="240" w:line="360" w:lineRule="auto"/>
        <w:jc w:val="both"/>
        <w:rPr>
          <w:sz w:val="22"/>
        </w:rPr>
      </w:pPr>
    </w:p>
    <w:sectPr w:rsidR="00745684" w:rsidRPr="00174A43" w:rsidSect="00CE4DD6">
      <w:headerReference w:type="default" r:id="rId13"/>
      <w:footerReference w:type="default" r:id="rId14"/>
      <w:pgSz w:w="11906" w:h="16838"/>
      <w:pgMar w:top="1843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B864" w14:textId="77777777" w:rsidR="000E5009" w:rsidRDefault="000E5009">
      <w:r>
        <w:separator/>
      </w:r>
    </w:p>
  </w:endnote>
  <w:endnote w:type="continuationSeparator" w:id="0">
    <w:p w14:paraId="6A5730B3" w14:textId="77777777" w:rsidR="000E5009" w:rsidRDefault="000E5009">
      <w:r>
        <w:continuationSeparator/>
      </w:r>
    </w:p>
  </w:endnote>
  <w:endnote w:type="continuationNotice" w:id="1">
    <w:p w14:paraId="0B7F85BE" w14:textId="77777777" w:rsidR="000E5009" w:rsidRDefault="000E5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2C2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27252" wp14:editId="1D887C0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2C2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E27A62" w14:textId="6FABC551" w:rsidR="0059016B" w:rsidRPr="00413D0B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413D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413D0B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D7D0" w14:textId="77777777" w:rsidR="000E5009" w:rsidRDefault="000E5009">
      <w:r>
        <w:separator/>
      </w:r>
    </w:p>
  </w:footnote>
  <w:footnote w:type="continuationSeparator" w:id="0">
    <w:p w14:paraId="18014284" w14:textId="77777777" w:rsidR="000E5009" w:rsidRDefault="000E5009">
      <w:r>
        <w:continuationSeparator/>
      </w:r>
    </w:p>
  </w:footnote>
  <w:footnote w:type="continuationNotice" w:id="1">
    <w:p w14:paraId="4DDCE362" w14:textId="77777777" w:rsidR="000E5009" w:rsidRDefault="000E5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B6F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FCE55EE" wp14:editId="09C38719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BF7"/>
    <w:multiLevelType w:val="hybridMultilevel"/>
    <w:tmpl w:val="5A5A9ED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D5D3E"/>
    <w:multiLevelType w:val="hybridMultilevel"/>
    <w:tmpl w:val="04CAF464"/>
    <w:lvl w:ilvl="0" w:tplc="DD9C47C6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2D8"/>
    <w:multiLevelType w:val="hybridMultilevel"/>
    <w:tmpl w:val="22D6A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405D3"/>
    <w:multiLevelType w:val="hybridMultilevel"/>
    <w:tmpl w:val="31F03E3E"/>
    <w:lvl w:ilvl="0" w:tplc="D722E7D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5F674D"/>
    <w:multiLevelType w:val="hybridMultilevel"/>
    <w:tmpl w:val="8616A382"/>
    <w:lvl w:ilvl="0" w:tplc="AFCE03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D1677"/>
    <w:multiLevelType w:val="hybridMultilevel"/>
    <w:tmpl w:val="EC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46690"/>
    <w:multiLevelType w:val="hybridMultilevel"/>
    <w:tmpl w:val="A5460C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BD0C5A"/>
    <w:multiLevelType w:val="hybridMultilevel"/>
    <w:tmpl w:val="3254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C44"/>
    <w:multiLevelType w:val="hybridMultilevel"/>
    <w:tmpl w:val="232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9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21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20"/>
  </w:num>
  <w:num w:numId="18">
    <w:abstractNumId w:val="14"/>
  </w:num>
  <w:num w:numId="19">
    <w:abstractNumId w:val="5"/>
  </w:num>
  <w:num w:numId="20">
    <w:abstractNumId w:val="18"/>
  </w:num>
  <w:num w:numId="21">
    <w:abstractNumId w:val="7"/>
  </w:num>
  <w:num w:numId="22">
    <w:abstractNumId w:val="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08F7"/>
    <w:rsid w:val="00023634"/>
    <w:rsid w:val="0002523D"/>
    <w:rsid w:val="00025752"/>
    <w:rsid w:val="00027648"/>
    <w:rsid w:val="00031315"/>
    <w:rsid w:val="00033EAA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1A41"/>
    <w:rsid w:val="00083D14"/>
    <w:rsid w:val="00083F82"/>
    <w:rsid w:val="00084C8A"/>
    <w:rsid w:val="000905E7"/>
    <w:rsid w:val="00095484"/>
    <w:rsid w:val="000A74FA"/>
    <w:rsid w:val="000A7A91"/>
    <w:rsid w:val="000A7DF6"/>
    <w:rsid w:val="000B149D"/>
    <w:rsid w:val="000B1AC5"/>
    <w:rsid w:val="000B7247"/>
    <w:rsid w:val="000B746E"/>
    <w:rsid w:val="000C0D9E"/>
    <w:rsid w:val="000E36D7"/>
    <w:rsid w:val="000E5009"/>
    <w:rsid w:val="000E5B3E"/>
    <w:rsid w:val="000E75EA"/>
    <w:rsid w:val="000F2BFC"/>
    <w:rsid w:val="0010559C"/>
    <w:rsid w:val="00105E45"/>
    <w:rsid w:val="00107844"/>
    <w:rsid w:val="001162A1"/>
    <w:rsid w:val="00120FBD"/>
    <w:rsid w:val="001239C2"/>
    <w:rsid w:val="0012424D"/>
    <w:rsid w:val="001277B7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2987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8A9"/>
    <w:rsid w:val="00172C94"/>
    <w:rsid w:val="00174A7D"/>
    <w:rsid w:val="00175C29"/>
    <w:rsid w:val="001829FC"/>
    <w:rsid w:val="00184DB1"/>
    <w:rsid w:val="00187C73"/>
    <w:rsid w:val="00190D5A"/>
    <w:rsid w:val="00196206"/>
    <w:rsid w:val="001966CC"/>
    <w:rsid w:val="001979B5"/>
    <w:rsid w:val="001A3B76"/>
    <w:rsid w:val="001A5F7C"/>
    <w:rsid w:val="001A6E5B"/>
    <w:rsid w:val="001A7451"/>
    <w:rsid w:val="001C190E"/>
    <w:rsid w:val="001C1FAD"/>
    <w:rsid w:val="001D0F6E"/>
    <w:rsid w:val="001D696C"/>
    <w:rsid w:val="001D69BC"/>
    <w:rsid w:val="001E188E"/>
    <w:rsid w:val="001E4F92"/>
    <w:rsid w:val="001E7B06"/>
    <w:rsid w:val="001F4A73"/>
    <w:rsid w:val="001F5B6D"/>
    <w:rsid w:val="001F7A62"/>
    <w:rsid w:val="00205580"/>
    <w:rsid w:val="00207824"/>
    <w:rsid w:val="00207A1F"/>
    <w:rsid w:val="002157BB"/>
    <w:rsid w:val="0022094E"/>
    <w:rsid w:val="002248D9"/>
    <w:rsid w:val="002262B5"/>
    <w:rsid w:val="0023138D"/>
    <w:rsid w:val="00240013"/>
    <w:rsid w:val="0024118E"/>
    <w:rsid w:val="00241BAC"/>
    <w:rsid w:val="0025020C"/>
    <w:rsid w:val="002505A5"/>
    <w:rsid w:val="00260382"/>
    <w:rsid w:val="00264FDC"/>
    <w:rsid w:val="00266422"/>
    <w:rsid w:val="00266CB4"/>
    <w:rsid w:val="00267DD1"/>
    <w:rsid w:val="0027687B"/>
    <w:rsid w:val="00277ADA"/>
    <w:rsid w:val="002801AA"/>
    <w:rsid w:val="00283EA6"/>
    <w:rsid w:val="002850D4"/>
    <w:rsid w:val="00295AF0"/>
    <w:rsid w:val="00295B34"/>
    <w:rsid w:val="002A5272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D0F46"/>
    <w:rsid w:val="002E0C0F"/>
    <w:rsid w:val="002E388C"/>
    <w:rsid w:val="002E3A34"/>
    <w:rsid w:val="002F1BF3"/>
    <w:rsid w:val="002F3DDE"/>
    <w:rsid w:val="002F459E"/>
    <w:rsid w:val="002F45F4"/>
    <w:rsid w:val="002F4738"/>
    <w:rsid w:val="002F4BFC"/>
    <w:rsid w:val="002F4D43"/>
    <w:rsid w:val="002F567C"/>
    <w:rsid w:val="003007C0"/>
    <w:rsid w:val="003056C6"/>
    <w:rsid w:val="00311B14"/>
    <w:rsid w:val="0031528B"/>
    <w:rsid w:val="0031711D"/>
    <w:rsid w:val="00321512"/>
    <w:rsid w:val="00323D7A"/>
    <w:rsid w:val="00324306"/>
    <w:rsid w:val="003258C9"/>
    <w:rsid w:val="003272F2"/>
    <w:rsid w:val="003278D6"/>
    <w:rsid w:val="003303F0"/>
    <w:rsid w:val="00332DC3"/>
    <w:rsid w:val="003374C8"/>
    <w:rsid w:val="00337DF9"/>
    <w:rsid w:val="0034059B"/>
    <w:rsid w:val="00341339"/>
    <w:rsid w:val="0035019C"/>
    <w:rsid w:val="00353196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677D"/>
    <w:rsid w:val="00387682"/>
    <w:rsid w:val="00391B75"/>
    <w:rsid w:val="00394182"/>
    <w:rsid w:val="003A20FD"/>
    <w:rsid w:val="003A62FA"/>
    <w:rsid w:val="003B4FCD"/>
    <w:rsid w:val="003C0FE4"/>
    <w:rsid w:val="003D171E"/>
    <w:rsid w:val="003D35AC"/>
    <w:rsid w:val="003D3FF4"/>
    <w:rsid w:val="003D7161"/>
    <w:rsid w:val="003E3F9D"/>
    <w:rsid w:val="003E4112"/>
    <w:rsid w:val="003E4746"/>
    <w:rsid w:val="003E69E5"/>
    <w:rsid w:val="003E6F28"/>
    <w:rsid w:val="003E7AA8"/>
    <w:rsid w:val="003F0278"/>
    <w:rsid w:val="003F25C3"/>
    <w:rsid w:val="00400C1F"/>
    <w:rsid w:val="00405345"/>
    <w:rsid w:val="0040748E"/>
    <w:rsid w:val="00412206"/>
    <w:rsid w:val="00412D77"/>
    <w:rsid w:val="00413C71"/>
    <w:rsid w:val="00413D0B"/>
    <w:rsid w:val="00416DBF"/>
    <w:rsid w:val="00420B36"/>
    <w:rsid w:val="00425D3A"/>
    <w:rsid w:val="00427E08"/>
    <w:rsid w:val="004313C2"/>
    <w:rsid w:val="00432E12"/>
    <w:rsid w:val="004349BA"/>
    <w:rsid w:val="00435504"/>
    <w:rsid w:val="0043575C"/>
    <w:rsid w:val="004365C7"/>
    <w:rsid w:val="004425B7"/>
    <w:rsid w:val="00442819"/>
    <w:rsid w:val="00444A85"/>
    <w:rsid w:val="00453AFA"/>
    <w:rsid w:val="00453B8A"/>
    <w:rsid w:val="00462CFA"/>
    <w:rsid w:val="00464F97"/>
    <w:rsid w:val="00470E30"/>
    <w:rsid w:val="00474204"/>
    <w:rsid w:val="00475B0D"/>
    <w:rsid w:val="004855FE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39F8"/>
    <w:rsid w:val="004C3AF1"/>
    <w:rsid w:val="004C5C26"/>
    <w:rsid w:val="004D16C0"/>
    <w:rsid w:val="004D1E1D"/>
    <w:rsid w:val="004D2293"/>
    <w:rsid w:val="004D24B9"/>
    <w:rsid w:val="004D4597"/>
    <w:rsid w:val="004D5A78"/>
    <w:rsid w:val="004E3258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970"/>
    <w:rsid w:val="00523E0D"/>
    <w:rsid w:val="00523E5F"/>
    <w:rsid w:val="00525588"/>
    <w:rsid w:val="0052710E"/>
    <w:rsid w:val="0053552F"/>
    <w:rsid w:val="005442FC"/>
    <w:rsid w:val="00544F6D"/>
    <w:rsid w:val="0055183E"/>
    <w:rsid w:val="00552BF4"/>
    <w:rsid w:val="0055362F"/>
    <w:rsid w:val="00553928"/>
    <w:rsid w:val="0055631D"/>
    <w:rsid w:val="00561DBE"/>
    <w:rsid w:val="00563DFA"/>
    <w:rsid w:val="005656ED"/>
    <w:rsid w:val="00574468"/>
    <w:rsid w:val="005864ED"/>
    <w:rsid w:val="005874AC"/>
    <w:rsid w:val="00593935"/>
    <w:rsid w:val="00595350"/>
    <w:rsid w:val="005973FD"/>
    <w:rsid w:val="00597C68"/>
    <w:rsid w:val="005A382B"/>
    <w:rsid w:val="005A4047"/>
    <w:rsid w:val="005B5AD5"/>
    <w:rsid w:val="005C0D39"/>
    <w:rsid w:val="005C6232"/>
    <w:rsid w:val="005C76C1"/>
    <w:rsid w:val="005D6122"/>
    <w:rsid w:val="005D6F7A"/>
    <w:rsid w:val="005E35D9"/>
    <w:rsid w:val="005E51B2"/>
    <w:rsid w:val="005E5B88"/>
    <w:rsid w:val="005E6A0E"/>
    <w:rsid w:val="005E78EE"/>
    <w:rsid w:val="005F139F"/>
    <w:rsid w:val="005F1EBD"/>
    <w:rsid w:val="005F25FF"/>
    <w:rsid w:val="005F4A8C"/>
    <w:rsid w:val="006063D0"/>
    <w:rsid w:val="00606EB4"/>
    <w:rsid w:val="006078AB"/>
    <w:rsid w:val="00607C7D"/>
    <w:rsid w:val="00613C45"/>
    <w:rsid w:val="00616E86"/>
    <w:rsid w:val="00633D4E"/>
    <w:rsid w:val="0063526F"/>
    <w:rsid w:val="00636CF2"/>
    <w:rsid w:val="00637E86"/>
    <w:rsid w:val="00637EDD"/>
    <w:rsid w:val="006422DE"/>
    <w:rsid w:val="006439FA"/>
    <w:rsid w:val="00653551"/>
    <w:rsid w:val="00654876"/>
    <w:rsid w:val="00666A77"/>
    <w:rsid w:val="00670BD3"/>
    <w:rsid w:val="00671509"/>
    <w:rsid w:val="006745ED"/>
    <w:rsid w:val="0067485D"/>
    <w:rsid w:val="00676B19"/>
    <w:rsid w:val="006813A9"/>
    <w:rsid w:val="00685C52"/>
    <w:rsid w:val="00687A9A"/>
    <w:rsid w:val="00687D36"/>
    <w:rsid w:val="006928DE"/>
    <w:rsid w:val="00695697"/>
    <w:rsid w:val="006A2065"/>
    <w:rsid w:val="006A356D"/>
    <w:rsid w:val="006A3D88"/>
    <w:rsid w:val="006A4A7A"/>
    <w:rsid w:val="006B0848"/>
    <w:rsid w:val="006B0BBB"/>
    <w:rsid w:val="006B364E"/>
    <w:rsid w:val="006B733D"/>
    <w:rsid w:val="006B746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5684"/>
    <w:rsid w:val="00746549"/>
    <w:rsid w:val="007514AD"/>
    <w:rsid w:val="0075409B"/>
    <w:rsid w:val="0075524D"/>
    <w:rsid w:val="007560B0"/>
    <w:rsid w:val="0075768B"/>
    <w:rsid w:val="0076172A"/>
    <w:rsid w:val="00761DDC"/>
    <w:rsid w:val="007627D7"/>
    <w:rsid w:val="0077200D"/>
    <w:rsid w:val="00772D80"/>
    <w:rsid w:val="00776C4F"/>
    <w:rsid w:val="007838E4"/>
    <w:rsid w:val="007846DC"/>
    <w:rsid w:val="007870A5"/>
    <w:rsid w:val="007912E8"/>
    <w:rsid w:val="00791D59"/>
    <w:rsid w:val="00793A70"/>
    <w:rsid w:val="007951CD"/>
    <w:rsid w:val="00796768"/>
    <w:rsid w:val="007A19D8"/>
    <w:rsid w:val="007B19A9"/>
    <w:rsid w:val="007B4006"/>
    <w:rsid w:val="007C0B50"/>
    <w:rsid w:val="007C1EF5"/>
    <w:rsid w:val="007C1F92"/>
    <w:rsid w:val="007D2B63"/>
    <w:rsid w:val="007E36E4"/>
    <w:rsid w:val="007E66AA"/>
    <w:rsid w:val="007E752F"/>
    <w:rsid w:val="007E7DE4"/>
    <w:rsid w:val="007F0ACE"/>
    <w:rsid w:val="00800F0E"/>
    <w:rsid w:val="00804024"/>
    <w:rsid w:val="00812AF3"/>
    <w:rsid w:val="00815387"/>
    <w:rsid w:val="00816923"/>
    <w:rsid w:val="0081753E"/>
    <w:rsid w:val="008212B2"/>
    <w:rsid w:val="00823E7A"/>
    <w:rsid w:val="008242DB"/>
    <w:rsid w:val="008253A3"/>
    <w:rsid w:val="00831779"/>
    <w:rsid w:val="0083291A"/>
    <w:rsid w:val="008331AB"/>
    <w:rsid w:val="0085010E"/>
    <w:rsid w:val="0085224A"/>
    <w:rsid w:val="008522F7"/>
    <w:rsid w:val="0085454F"/>
    <w:rsid w:val="00865AE0"/>
    <w:rsid w:val="0086736C"/>
    <w:rsid w:val="00870B4C"/>
    <w:rsid w:val="008717EE"/>
    <w:rsid w:val="0087354F"/>
    <w:rsid w:val="008774FA"/>
    <w:rsid w:val="00877BCA"/>
    <w:rsid w:val="00881C3D"/>
    <w:rsid w:val="00884B41"/>
    <w:rsid w:val="00896985"/>
    <w:rsid w:val="008A7777"/>
    <w:rsid w:val="008B6DF5"/>
    <w:rsid w:val="008C10B0"/>
    <w:rsid w:val="008C1C5D"/>
    <w:rsid w:val="008C4CF5"/>
    <w:rsid w:val="008C53D0"/>
    <w:rsid w:val="008D3D5D"/>
    <w:rsid w:val="008D527A"/>
    <w:rsid w:val="008D56DA"/>
    <w:rsid w:val="008D5771"/>
    <w:rsid w:val="008E35B0"/>
    <w:rsid w:val="008E5763"/>
    <w:rsid w:val="008E6D94"/>
    <w:rsid w:val="008F1196"/>
    <w:rsid w:val="008F16D4"/>
    <w:rsid w:val="008F2A43"/>
    <w:rsid w:val="008F432F"/>
    <w:rsid w:val="008F472E"/>
    <w:rsid w:val="00902556"/>
    <w:rsid w:val="0090338C"/>
    <w:rsid w:val="0091048E"/>
    <w:rsid w:val="00913003"/>
    <w:rsid w:val="0091340B"/>
    <w:rsid w:val="00915FF6"/>
    <w:rsid w:val="009213C6"/>
    <w:rsid w:val="00924ABC"/>
    <w:rsid w:val="00933216"/>
    <w:rsid w:val="00934BD6"/>
    <w:rsid w:val="00937E6E"/>
    <w:rsid w:val="00940D57"/>
    <w:rsid w:val="00940E8F"/>
    <w:rsid w:val="00943EBD"/>
    <w:rsid w:val="00944834"/>
    <w:rsid w:val="0095309C"/>
    <w:rsid w:val="0095787E"/>
    <w:rsid w:val="009578D1"/>
    <w:rsid w:val="00960A21"/>
    <w:rsid w:val="00961CDB"/>
    <w:rsid w:val="0096214C"/>
    <w:rsid w:val="0096305F"/>
    <w:rsid w:val="009652F2"/>
    <w:rsid w:val="0096767E"/>
    <w:rsid w:val="00970CB0"/>
    <w:rsid w:val="00971072"/>
    <w:rsid w:val="009715CC"/>
    <w:rsid w:val="009719ED"/>
    <w:rsid w:val="009740F7"/>
    <w:rsid w:val="00974BC9"/>
    <w:rsid w:val="00986C37"/>
    <w:rsid w:val="00995159"/>
    <w:rsid w:val="00997528"/>
    <w:rsid w:val="0099796A"/>
    <w:rsid w:val="009A1062"/>
    <w:rsid w:val="009B2823"/>
    <w:rsid w:val="009B49F5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1BEF"/>
    <w:rsid w:val="00A02F75"/>
    <w:rsid w:val="00A0326D"/>
    <w:rsid w:val="00A076EA"/>
    <w:rsid w:val="00A11FD8"/>
    <w:rsid w:val="00A13244"/>
    <w:rsid w:val="00A13889"/>
    <w:rsid w:val="00A14090"/>
    <w:rsid w:val="00A15043"/>
    <w:rsid w:val="00A17346"/>
    <w:rsid w:val="00A21BCB"/>
    <w:rsid w:val="00A239AA"/>
    <w:rsid w:val="00A23AB1"/>
    <w:rsid w:val="00A26321"/>
    <w:rsid w:val="00A274E3"/>
    <w:rsid w:val="00A36ADF"/>
    <w:rsid w:val="00A37D80"/>
    <w:rsid w:val="00A439E8"/>
    <w:rsid w:val="00A45753"/>
    <w:rsid w:val="00A53423"/>
    <w:rsid w:val="00A54107"/>
    <w:rsid w:val="00A62659"/>
    <w:rsid w:val="00A64A6D"/>
    <w:rsid w:val="00A64EF5"/>
    <w:rsid w:val="00A65F20"/>
    <w:rsid w:val="00A71B9E"/>
    <w:rsid w:val="00A7405B"/>
    <w:rsid w:val="00A76293"/>
    <w:rsid w:val="00A77149"/>
    <w:rsid w:val="00A77DA2"/>
    <w:rsid w:val="00A82F3B"/>
    <w:rsid w:val="00A83966"/>
    <w:rsid w:val="00A85D9D"/>
    <w:rsid w:val="00A90613"/>
    <w:rsid w:val="00A92C4C"/>
    <w:rsid w:val="00A94ED7"/>
    <w:rsid w:val="00AA26EE"/>
    <w:rsid w:val="00AA2B7D"/>
    <w:rsid w:val="00AA602D"/>
    <w:rsid w:val="00AA6A29"/>
    <w:rsid w:val="00AB4908"/>
    <w:rsid w:val="00AB572D"/>
    <w:rsid w:val="00AB67AE"/>
    <w:rsid w:val="00AB7E24"/>
    <w:rsid w:val="00AC19CE"/>
    <w:rsid w:val="00AC48F3"/>
    <w:rsid w:val="00AD06A7"/>
    <w:rsid w:val="00AD1E09"/>
    <w:rsid w:val="00AD6D86"/>
    <w:rsid w:val="00AE2923"/>
    <w:rsid w:val="00AE6E67"/>
    <w:rsid w:val="00AE7149"/>
    <w:rsid w:val="00AE7F9D"/>
    <w:rsid w:val="00AF1794"/>
    <w:rsid w:val="00B00C77"/>
    <w:rsid w:val="00B010E9"/>
    <w:rsid w:val="00B028F7"/>
    <w:rsid w:val="00B06151"/>
    <w:rsid w:val="00B075C5"/>
    <w:rsid w:val="00B103F1"/>
    <w:rsid w:val="00B13F20"/>
    <w:rsid w:val="00B16E64"/>
    <w:rsid w:val="00B22863"/>
    <w:rsid w:val="00B22865"/>
    <w:rsid w:val="00B26FC0"/>
    <w:rsid w:val="00B3387B"/>
    <w:rsid w:val="00B342C8"/>
    <w:rsid w:val="00B376A2"/>
    <w:rsid w:val="00B400D5"/>
    <w:rsid w:val="00B41502"/>
    <w:rsid w:val="00B41FDF"/>
    <w:rsid w:val="00B45A4D"/>
    <w:rsid w:val="00B51024"/>
    <w:rsid w:val="00B512B5"/>
    <w:rsid w:val="00B5130C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69B8"/>
    <w:rsid w:val="00BA79F0"/>
    <w:rsid w:val="00BB085B"/>
    <w:rsid w:val="00BB2C48"/>
    <w:rsid w:val="00BB5068"/>
    <w:rsid w:val="00BB7AE8"/>
    <w:rsid w:val="00BC1CCC"/>
    <w:rsid w:val="00BC5854"/>
    <w:rsid w:val="00BC7B01"/>
    <w:rsid w:val="00BD0481"/>
    <w:rsid w:val="00BD4447"/>
    <w:rsid w:val="00BD73CF"/>
    <w:rsid w:val="00BE04A6"/>
    <w:rsid w:val="00BE2623"/>
    <w:rsid w:val="00BE3923"/>
    <w:rsid w:val="00BE4BF0"/>
    <w:rsid w:val="00BE5EE5"/>
    <w:rsid w:val="00BE6331"/>
    <w:rsid w:val="00BE68EE"/>
    <w:rsid w:val="00BE7248"/>
    <w:rsid w:val="00BE7F63"/>
    <w:rsid w:val="00BF3308"/>
    <w:rsid w:val="00BF45FB"/>
    <w:rsid w:val="00C01FD5"/>
    <w:rsid w:val="00C0445E"/>
    <w:rsid w:val="00C1137E"/>
    <w:rsid w:val="00C11399"/>
    <w:rsid w:val="00C123B1"/>
    <w:rsid w:val="00C16E0F"/>
    <w:rsid w:val="00C21071"/>
    <w:rsid w:val="00C2398C"/>
    <w:rsid w:val="00C24A19"/>
    <w:rsid w:val="00C24E58"/>
    <w:rsid w:val="00C25569"/>
    <w:rsid w:val="00C255A2"/>
    <w:rsid w:val="00C25642"/>
    <w:rsid w:val="00C27366"/>
    <w:rsid w:val="00C3383E"/>
    <w:rsid w:val="00C3587D"/>
    <w:rsid w:val="00C44BD8"/>
    <w:rsid w:val="00C54BD2"/>
    <w:rsid w:val="00C6164A"/>
    <w:rsid w:val="00C63AA8"/>
    <w:rsid w:val="00C66CA1"/>
    <w:rsid w:val="00C70587"/>
    <w:rsid w:val="00C7305B"/>
    <w:rsid w:val="00C755A2"/>
    <w:rsid w:val="00C7783C"/>
    <w:rsid w:val="00C77F47"/>
    <w:rsid w:val="00C81210"/>
    <w:rsid w:val="00C8292F"/>
    <w:rsid w:val="00C83572"/>
    <w:rsid w:val="00C91C33"/>
    <w:rsid w:val="00C95607"/>
    <w:rsid w:val="00CA1B09"/>
    <w:rsid w:val="00CA6757"/>
    <w:rsid w:val="00CA6B58"/>
    <w:rsid w:val="00CB1AE6"/>
    <w:rsid w:val="00CB3ED4"/>
    <w:rsid w:val="00CB3F86"/>
    <w:rsid w:val="00CB7033"/>
    <w:rsid w:val="00CC2D08"/>
    <w:rsid w:val="00CD34F0"/>
    <w:rsid w:val="00CD4A1A"/>
    <w:rsid w:val="00CE0954"/>
    <w:rsid w:val="00CE4DD6"/>
    <w:rsid w:val="00CE51C8"/>
    <w:rsid w:val="00CF0930"/>
    <w:rsid w:val="00CF11F7"/>
    <w:rsid w:val="00D03C98"/>
    <w:rsid w:val="00D06180"/>
    <w:rsid w:val="00D06686"/>
    <w:rsid w:val="00D106CC"/>
    <w:rsid w:val="00D10919"/>
    <w:rsid w:val="00D12EE3"/>
    <w:rsid w:val="00D13215"/>
    <w:rsid w:val="00D1323F"/>
    <w:rsid w:val="00D13A33"/>
    <w:rsid w:val="00D15E0B"/>
    <w:rsid w:val="00D202BA"/>
    <w:rsid w:val="00D217E6"/>
    <w:rsid w:val="00D21E3B"/>
    <w:rsid w:val="00D251AC"/>
    <w:rsid w:val="00D36DE4"/>
    <w:rsid w:val="00D421BA"/>
    <w:rsid w:val="00D43766"/>
    <w:rsid w:val="00D4745A"/>
    <w:rsid w:val="00D47CCF"/>
    <w:rsid w:val="00D5463A"/>
    <w:rsid w:val="00D55066"/>
    <w:rsid w:val="00D579E3"/>
    <w:rsid w:val="00D61937"/>
    <w:rsid w:val="00D630B2"/>
    <w:rsid w:val="00D6457B"/>
    <w:rsid w:val="00D66DEC"/>
    <w:rsid w:val="00D71A41"/>
    <w:rsid w:val="00D7427C"/>
    <w:rsid w:val="00D7606C"/>
    <w:rsid w:val="00D768A4"/>
    <w:rsid w:val="00D77B4F"/>
    <w:rsid w:val="00D809C6"/>
    <w:rsid w:val="00D81BBD"/>
    <w:rsid w:val="00D901B2"/>
    <w:rsid w:val="00D92773"/>
    <w:rsid w:val="00D92F52"/>
    <w:rsid w:val="00DA1A73"/>
    <w:rsid w:val="00DA4F59"/>
    <w:rsid w:val="00DA753F"/>
    <w:rsid w:val="00DC0678"/>
    <w:rsid w:val="00DC182C"/>
    <w:rsid w:val="00DC2A07"/>
    <w:rsid w:val="00DC5754"/>
    <w:rsid w:val="00DC5BEB"/>
    <w:rsid w:val="00DD055E"/>
    <w:rsid w:val="00DD34A3"/>
    <w:rsid w:val="00DD6056"/>
    <w:rsid w:val="00DE256B"/>
    <w:rsid w:val="00DE6DAB"/>
    <w:rsid w:val="00DE7627"/>
    <w:rsid w:val="00DE7C6A"/>
    <w:rsid w:val="00DF2857"/>
    <w:rsid w:val="00DF782B"/>
    <w:rsid w:val="00E03AEF"/>
    <w:rsid w:val="00E05108"/>
    <w:rsid w:val="00E05966"/>
    <w:rsid w:val="00E102DE"/>
    <w:rsid w:val="00E11CFA"/>
    <w:rsid w:val="00E1267F"/>
    <w:rsid w:val="00E14D86"/>
    <w:rsid w:val="00E1632D"/>
    <w:rsid w:val="00E17B50"/>
    <w:rsid w:val="00E2169E"/>
    <w:rsid w:val="00E24825"/>
    <w:rsid w:val="00E24C46"/>
    <w:rsid w:val="00E30B56"/>
    <w:rsid w:val="00E42093"/>
    <w:rsid w:val="00E45923"/>
    <w:rsid w:val="00E465B3"/>
    <w:rsid w:val="00E5028C"/>
    <w:rsid w:val="00E522AD"/>
    <w:rsid w:val="00E614A4"/>
    <w:rsid w:val="00E64103"/>
    <w:rsid w:val="00E6483F"/>
    <w:rsid w:val="00E66662"/>
    <w:rsid w:val="00E7455B"/>
    <w:rsid w:val="00E75DC7"/>
    <w:rsid w:val="00E76CD1"/>
    <w:rsid w:val="00E81454"/>
    <w:rsid w:val="00E815C6"/>
    <w:rsid w:val="00E83A43"/>
    <w:rsid w:val="00E86183"/>
    <w:rsid w:val="00E87B6E"/>
    <w:rsid w:val="00E907FE"/>
    <w:rsid w:val="00E92232"/>
    <w:rsid w:val="00E928C9"/>
    <w:rsid w:val="00E93358"/>
    <w:rsid w:val="00E95BF3"/>
    <w:rsid w:val="00EA3C7C"/>
    <w:rsid w:val="00EA69F6"/>
    <w:rsid w:val="00EA761E"/>
    <w:rsid w:val="00EC2A1F"/>
    <w:rsid w:val="00EC688E"/>
    <w:rsid w:val="00EC6DAA"/>
    <w:rsid w:val="00ED06EF"/>
    <w:rsid w:val="00EE2454"/>
    <w:rsid w:val="00EE4AD8"/>
    <w:rsid w:val="00EE7031"/>
    <w:rsid w:val="00EE78E5"/>
    <w:rsid w:val="00EF3590"/>
    <w:rsid w:val="00EF4CD8"/>
    <w:rsid w:val="00EF68F2"/>
    <w:rsid w:val="00EF6F40"/>
    <w:rsid w:val="00F071CB"/>
    <w:rsid w:val="00F139AC"/>
    <w:rsid w:val="00F168D2"/>
    <w:rsid w:val="00F170E1"/>
    <w:rsid w:val="00F21EAC"/>
    <w:rsid w:val="00F22B64"/>
    <w:rsid w:val="00F25BD4"/>
    <w:rsid w:val="00F26377"/>
    <w:rsid w:val="00F3243D"/>
    <w:rsid w:val="00F41C1E"/>
    <w:rsid w:val="00F41C3C"/>
    <w:rsid w:val="00F43606"/>
    <w:rsid w:val="00F46D0D"/>
    <w:rsid w:val="00F50441"/>
    <w:rsid w:val="00F5511B"/>
    <w:rsid w:val="00F55576"/>
    <w:rsid w:val="00F6384F"/>
    <w:rsid w:val="00F7235E"/>
    <w:rsid w:val="00F752AE"/>
    <w:rsid w:val="00F765B4"/>
    <w:rsid w:val="00F77735"/>
    <w:rsid w:val="00F7783D"/>
    <w:rsid w:val="00F83FD2"/>
    <w:rsid w:val="00F91F7A"/>
    <w:rsid w:val="00F92B59"/>
    <w:rsid w:val="00F948BC"/>
    <w:rsid w:val="00F960CF"/>
    <w:rsid w:val="00FA10A3"/>
    <w:rsid w:val="00FA1226"/>
    <w:rsid w:val="00FA1500"/>
    <w:rsid w:val="00FA35FE"/>
    <w:rsid w:val="00FA6C28"/>
    <w:rsid w:val="00FB1A3D"/>
    <w:rsid w:val="00FB3E98"/>
    <w:rsid w:val="00FC1182"/>
    <w:rsid w:val="00FD09D8"/>
    <w:rsid w:val="00FD4A9A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02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BC5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extZchn">
    <w:name w:val="S_text Zchn"/>
    <w:link w:val="Stext"/>
    <w:uiPriority w:val="11"/>
    <w:locked/>
    <w:rsid w:val="009715CC"/>
    <w:rPr>
      <w:lang w:eastAsia="zh-TW"/>
    </w:rPr>
  </w:style>
  <w:style w:type="paragraph" w:customStyle="1" w:styleId="Stext">
    <w:name w:val="S_text"/>
    <w:link w:val="StextZchn"/>
    <w:uiPriority w:val="11"/>
    <w:qFormat/>
    <w:rsid w:val="009715CC"/>
    <w:pPr>
      <w:spacing w:before="120" w:after="60" w:line="280" w:lineRule="atLeast"/>
      <w:jc w:val="both"/>
    </w:pPr>
    <w:rPr>
      <w:lang w:eastAsia="zh-TW"/>
    </w:rPr>
  </w:style>
  <w:style w:type="character" w:customStyle="1" w:styleId="bumpedfont15">
    <w:name w:val="bumpedfont15"/>
    <w:basedOn w:val="Domylnaczcionkaakapitu"/>
    <w:rsid w:val="00C25642"/>
  </w:style>
  <w:style w:type="character" w:customStyle="1" w:styleId="TekstprzypisudolnegoZnak">
    <w:name w:val="Tekst przypisu dolnego Znak"/>
    <w:aliases w:val="ft Znak,Car Znak,Podrozdział Znak,Podrozdzia3 Znak,-E Fuﬂnotentext Znak,Fuﬂnotentext Ursprung Znak,Fußnotentext Ursprung Znak,-E Fußnotentext Znak,Fußnote Znak,Tekst przypisu Znak Znak Znak Znak Znak1,fn Znak,FN Znak"/>
    <w:basedOn w:val="Domylnaczcionkaakapitu"/>
    <w:link w:val="Tekstprzypisudolnego"/>
    <w:semiHidden/>
    <w:qFormat/>
    <w:locked/>
    <w:rsid w:val="002850D4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t,Car,Podrozdział,Podrozdzia3,-E Fuﬂnotentext,Fuﬂnotentext Ursprung,Fußnotentext Ursprung,-E Fußnotentext,Fußnote,Tekst przypisu Znak Znak Znak Znak,Tekst przypisu Znak Znak Znak Znak Znak,fn,Tekst przypisu,tekst przypisu,FN"/>
    <w:basedOn w:val="Normalny"/>
    <w:link w:val="TekstprzypisudolnegoZnak"/>
    <w:semiHidden/>
    <w:unhideWhenUsed/>
    <w:qFormat/>
    <w:rsid w:val="002850D4"/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50D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fr,SUPERS,Footnote Reference Superscript,BVI fnr,Footnote symbol,Footnote,(Footnote Reference),Footnote reference number,note TESI,EN Footnote Reference,Voetnootverwijzing,Times 10 Point,Exposant 3 Point,Appel note de bas de,o"/>
    <w:basedOn w:val="Domylnaczcionkaakapitu"/>
    <w:semiHidden/>
    <w:unhideWhenUsed/>
    <w:qFormat/>
    <w:rsid w:val="002850D4"/>
    <w:rPr>
      <w:rFonts w:ascii="Times New Roman" w:hAnsi="Times New Roman" w:cs="Times New Roman" w:hint="default"/>
      <w:vertAlign w:val="superscript"/>
    </w:rPr>
  </w:style>
  <w:style w:type="character" w:customStyle="1" w:styleId="Ppogrubienie">
    <w:name w:val="_P_ – pogrubienie"/>
    <w:rsid w:val="00745684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nauka/oecd-organizacja-wspolpracy-gospodarczej-i-rozwoju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roparl.europa.eu/factsheets/pl/sheet/169/the-european-economic-area-eea-switzerland-and-the-nort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wnload.xsp/WDU20150001272/U/D20151272Lj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isap.sejm.gov.pl/isap.nsf/download.xsp/WDU20150001272/U/D20151272Lj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0538-F9BA-4373-B684-A0244D6026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55B67C-CABC-4FD3-B831-A4024141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Piotr Chudzik</cp:lastModifiedBy>
  <cp:revision>11</cp:revision>
  <cp:lastPrinted>2023-10-06T08:07:00Z</cp:lastPrinted>
  <dcterms:created xsi:type="dcterms:W3CDTF">2024-02-29T10:58:00Z</dcterms:created>
  <dcterms:modified xsi:type="dcterms:W3CDTF">2024-05-14T09:53:00Z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08b52c9f-1838-46a9-8c17-5f4090f4dce9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