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D20C" w14:textId="45ED52F4" w:rsidR="00CE56C1" w:rsidRPr="00DB3985" w:rsidRDefault="00572BF3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REKOMPENSAT</w:t>
      </w:r>
      <w:r w:rsidR="00976249">
        <w:rPr>
          <w:color w:val="000000" w:themeColor="text1"/>
          <w:sz w:val="32"/>
          <w:szCs w:val="32"/>
        </w:rPr>
        <w:t>A</w:t>
      </w:r>
      <w:r>
        <w:rPr>
          <w:color w:val="000000" w:themeColor="text1"/>
          <w:sz w:val="32"/>
          <w:szCs w:val="32"/>
        </w:rPr>
        <w:t xml:space="preserve"> OD SPÓŁKI ENEA </w:t>
      </w:r>
      <w:r w:rsidR="00577763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32"/>
          <w:szCs w:val="32"/>
        </w:rPr>
        <w:t xml:space="preserve"> DECYZJE PREZESA UOKIK</w:t>
      </w:r>
    </w:p>
    <w:p w14:paraId="7C38577F" w14:textId="4B9D037E" w:rsidR="00C2398C" w:rsidRPr="004E7BD4" w:rsidRDefault="005B0F78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wydał dwie decyzje zobowiązujące wobec przedsiębiorcy energetycznego E</w:t>
      </w:r>
      <w:r w:rsidR="00DE6D60">
        <w:rPr>
          <w:rFonts w:cs="Tahoma"/>
          <w:b/>
          <w:bCs/>
          <w:color w:val="000000" w:themeColor="text1"/>
          <w:sz w:val="22"/>
          <w:lang w:eastAsia="en-GB"/>
        </w:rPr>
        <w:t>nea</w:t>
      </w:r>
      <w:r w:rsidR="002A10BA">
        <w:rPr>
          <w:rFonts w:cs="Tahoma"/>
          <w:b/>
          <w:bCs/>
          <w:color w:val="000000" w:themeColor="text1"/>
          <w:sz w:val="22"/>
          <w:lang w:eastAsia="en-GB"/>
        </w:rPr>
        <w:t xml:space="preserve"> S.A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2794211" w14:textId="258C4F83" w:rsidR="002F29A4" w:rsidRPr="002F29A4" w:rsidRDefault="00CE56C1" w:rsidP="002F29A4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Spółka gwarantowała stałe ceny prądu, ale </w:t>
      </w:r>
      <w:r w:rsidRPr="00BB5A9D">
        <w:rPr>
          <w:rFonts w:cs="Tahoma"/>
          <w:b/>
          <w:bCs/>
          <w:color w:val="000000" w:themeColor="text1"/>
          <w:sz w:val="22"/>
          <w:lang w:eastAsia="en-GB"/>
        </w:rPr>
        <w:t>pomijała</w:t>
      </w:r>
      <w:r w:rsidR="00CD04AA">
        <w:rPr>
          <w:rFonts w:cs="Tahoma"/>
          <w:b/>
          <w:bCs/>
          <w:color w:val="000000" w:themeColor="text1"/>
          <w:sz w:val="22"/>
          <w:lang w:eastAsia="en-GB"/>
        </w:rPr>
        <w:t xml:space="preserve"> lub prezentowała w sposób</w:t>
      </w:r>
      <w:r w:rsidR="00BB5A9D">
        <w:rPr>
          <w:rFonts w:cs="Tahoma"/>
          <w:b/>
          <w:bCs/>
          <w:color w:val="000000" w:themeColor="text1"/>
          <w:sz w:val="22"/>
          <w:lang w:eastAsia="en-GB"/>
        </w:rPr>
        <w:t xml:space="preserve"> mogący wprowadzać w błąd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informacje o</w:t>
      </w:r>
      <w:r w:rsidR="0040446B">
        <w:rPr>
          <w:rFonts w:cs="Tahoma"/>
          <w:b/>
          <w:bCs/>
          <w:color w:val="000000" w:themeColor="text1"/>
          <w:sz w:val="22"/>
          <w:lang w:eastAsia="en-GB"/>
        </w:rPr>
        <w:t xml:space="preserve"> comiesięcznej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opłacie handlowej.</w:t>
      </w:r>
      <w:r w:rsidR="005B0F7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A6660A">
        <w:rPr>
          <w:rFonts w:cs="Tahoma"/>
          <w:b/>
          <w:bCs/>
          <w:color w:val="000000" w:themeColor="text1"/>
          <w:sz w:val="22"/>
          <w:lang w:eastAsia="en-GB"/>
        </w:rPr>
        <w:t>Bezpodstawnie n</w:t>
      </w:r>
      <w:r w:rsidR="00B81C58">
        <w:rPr>
          <w:rFonts w:cs="Tahoma"/>
          <w:b/>
          <w:bCs/>
          <w:color w:val="000000" w:themeColor="text1"/>
          <w:sz w:val="22"/>
          <w:lang w:eastAsia="en-GB"/>
        </w:rPr>
        <w:t xml:space="preserve">aliczała </w:t>
      </w:r>
      <w:r w:rsidR="00A6660A">
        <w:rPr>
          <w:rFonts w:cs="Tahoma"/>
          <w:b/>
          <w:bCs/>
          <w:color w:val="000000" w:themeColor="text1"/>
          <w:sz w:val="22"/>
          <w:lang w:eastAsia="en-GB"/>
        </w:rPr>
        <w:t>również</w:t>
      </w:r>
      <w:r w:rsidR="00B81C58">
        <w:rPr>
          <w:rFonts w:cs="Tahoma"/>
          <w:b/>
          <w:bCs/>
          <w:color w:val="000000" w:themeColor="text1"/>
          <w:sz w:val="22"/>
          <w:lang w:eastAsia="en-GB"/>
        </w:rPr>
        <w:t xml:space="preserve"> kary za wcześniejsze rozwiązanie umowy.</w:t>
      </w:r>
      <w:bookmarkStart w:id="0" w:name="_Hlk156394653"/>
    </w:p>
    <w:bookmarkEnd w:id="0"/>
    <w:p w14:paraId="3AC07CEF" w14:textId="610A5550" w:rsidR="00EE5F9F" w:rsidRPr="002F29A4" w:rsidRDefault="007627DF" w:rsidP="002F29A4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Enea zwróci niesłusznie pobrane opłaty uprawnionym konsumentom. </w:t>
      </w:r>
    </w:p>
    <w:p w14:paraId="3073441C" w14:textId="5424D583" w:rsidR="00657F6B" w:rsidRDefault="0010559C" w:rsidP="00EE5F9F">
      <w:pPr>
        <w:spacing w:after="240" w:line="360" w:lineRule="auto"/>
        <w:jc w:val="both"/>
        <w:rPr>
          <w:color w:val="000000" w:themeColor="text1"/>
          <w:sz w:val="22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CC2E36">
        <w:rPr>
          <w:b/>
          <w:color w:val="000000" w:themeColor="text1"/>
          <w:sz w:val="22"/>
        </w:rPr>
        <w:t>29</w:t>
      </w:r>
      <w:r w:rsidR="00E2178C" w:rsidRPr="00DB3985">
        <w:rPr>
          <w:b/>
          <w:color w:val="000000" w:themeColor="text1"/>
          <w:sz w:val="22"/>
        </w:rPr>
        <w:t xml:space="preserve"> </w:t>
      </w:r>
      <w:r w:rsidR="008D109F">
        <w:rPr>
          <w:b/>
          <w:color w:val="000000" w:themeColor="text1"/>
          <w:sz w:val="22"/>
        </w:rPr>
        <w:t>stycznia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8D109F">
        <w:rPr>
          <w:b/>
          <w:color w:val="000000" w:themeColor="text1"/>
          <w:sz w:val="22"/>
        </w:rPr>
        <w:t>4</w:t>
      </w:r>
      <w:r w:rsidRPr="00DB3985">
        <w:rPr>
          <w:b/>
          <w:color w:val="000000" w:themeColor="text1"/>
          <w:sz w:val="22"/>
        </w:rPr>
        <w:t xml:space="preserve"> r.]</w:t>
      </w:r>
      <w:r w:rsidR="009B33BB">
        <w:rPr>
          <w:color w:val="000000" w:themeColor="text1"/>
          <w:sz w:val="22"/>
        </w:rPr>
        <w:t xml:space="preserve"> Do Urzędu Ochrony Konkurencji i Konsumentów wpływały liczne skargi na </w:t>
      </w:r>
      <w:r w:rsidR="00572405">
        <w:rPr>
          <w:color w:val="000000" w:themeColor="text1"/>
          <w:sz w:val="22"/>
        </w:rPr>
        <w:t>firmę energetyczną Enea.</w:t>
      </w:r>
      <w:r w:rsidR="00CE56C1">
        <w:rPr>
          <w:color w:val="000000" w:themeColor="text1"/>
          <w:sz w:val="22"/>
        </w:rPr>
        <w:t xml:space="preserve"> Dotyczyły </w:t>
      </w:r>
      <w:r w:rsidR="0040446B">
        <w:rPr>
          <w:color w:val="000000" w:themeColor="text1"/>
          <w:sz w:val="22"/>
        </w:rPr>
        <w:t xml:space="preserve">ofert </w:t>
      </w:r>
      <w:r w:rsidR="00CE56C1">
        <w:rPr>
          <w:color w:val="000000" w:themeColor="text1"/>
          <w:sz w:val="22"/>
        </w:rPr>
        <w:t>z gwarancją stałej ceny prądu</w:t>
      </w:r>
      <w:r w:rsidR="00EF4ED5">
        <w:rPr>
          <w:color w:val="000000" w:themeColor="text1"/>
          <w:sz w:val="22"/>
        </w:rPr>
        <w:t xml:space="preserve"> i</w:t>
      </w:r>
      <w:r w:rsidR="008E1E3D">
        <w:rPr>
          <w:color w:val="000000" w:themeColor="text1"/>
          <w:sz w:val="22"/>
        </w:rPr>
        <w:t> </w:t>
      </w:r>
      <w:r w:rsidR="00EF4ED5">
        <w:rPr>
          <w:color w:val="000000" w:themeColor="text1"/>
          <w:sz w:val="22"/>
        </w:rPr>
        <w:t>dodatkowych opłat, które pojawiały się podczas obowiązywania umowy</w:t>
      </w:r>
      <w:r w:rsidR="0040446B">
        <w:rPr>
          <w:color w:val="000000" w:themeColor="text1"/>
          <w:sz w:val="22"/>
        </w:rPr>
        <w:t xml:space="preserve">. Po </w:t>
      </w:r>
      <w:r w:rsidR="007930C9">
        <w:rPr>
          <w:color w:val="000000" w:themeColor="text1"/>
          <w:sz w:val="22"/>
        </w:rPr>
        <w:t xml:space="preserve">analizie sprawy Prezes UOKiK wszczął </w:t>
      </w:r>
      <w:r w:rsidR="00A6660A">
        <w:rPr>
          <w:color w:val="000000" w:themeColor="text1"/>
          <w:sz w:val="22"/>
        </w:rPr>
        <w:t>przeciwko</w:t>
      </w:r>
      <w:r w:rsidR="007930C9">
        <w:rPr>
          <w:color w:val="000000" w:themeColor="text1"/>
          <w:sz w:val="22"/>
        </w:rPr>
        <w:t xml:space="preserve"> </w:t>
      </w:r>
      <w:r w:rsidR="00572405">
        <w:rPr>
          <w:color w:val="000000" w:themeColor="text1"/>
          <w:sz w:val="22"/>
        </w:rPr>
        <w:t>spół</w:t>
      </w:r>
      <w:r w:rsidR="00A6660A">
        <w:rPr>
          <w:color w:val="000000" w:themeColor="text1"/>
          <w:sz w:val="22"/>
        </w:rPr>
        <w:t>ce</w:t>
      </w:r>
      <w:r w:rsidR="007930C9">
        <w:rPr>
          <w:color w:val="000000" w:themeColor="text1"/>
          <w:sz w:val="22"/>
        </w:rPr>
        <w:t xml:space="preserve"> dwa postępowania – o naruszenie zbiorowych interesów konsumentów oraz o stosowanie nieuczciwych klauzul w umowach. Oba zakończyły się wydaniem decyzji zobowiązującyc</w:t>
      </w:r>
      <w:r w:rsidR="00910F4C">
        <w:rPr>
          <w:color w:val="000000" w:themeColor="text1"/>
          <w:sz w:val="22"/>
        </w:rPr>
        <w:t xml:space="preserve">h </w:t>
      </w:r>
      <w:r w:rsidR="00A6660A">
        <w:rPr>
          <w:color w:val="000000" w:themeColor="text1"/>
          <w:sz w:val="22"/>
        </w:rPr>
        <w:t>–</w:t>
      </w:r>
      <w:r w:rsidR="00910F4C">
        <w:rPr>
          <w:color w:val="000000" w:themeColor="text1"/>
          <w:sz w:val="22"/>
        </w:rPr>
        <w:t xml:space="preserve"> </w:t>
      </w:r>
      <w:r w:rsidR="00A6660A">
        <w:rPr>
          <w:color w:val="000000" w:themeColor="text1"/>
          <w:sz w:val="22"/>
        </w:rPr>
        <w:t xml:space="preserve">w ich wyniku </w:t>
      </w:r>
      <w:r w:rsidR="00910F4C">
        <w:rPr>
          <w:color w:val="000000" w:themeColor="text1"/>
          <w:sz w:val="22"/>
        </w:rPr>
        <w:t xml:space="preserve">konsumentom przysługują rekompensaty. </w:t>
      </w:r>
    </w:p>
    <w:p w14:paraId="1E95685A" w14:textId="028AC79B" w:rsidR="00910F4C" w:rsidRPr="00910F4C" w:rsidRDefault="00910F4C" w:rsidP="00EE5F9F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Cena stała i opłata też</w:t>
      </w:r>
    </w:p>
    <w:p w14:paraId="264648A3" w14:textId="6A9D2228" w:rsidR="00BC7D21" w:rsidRDefault="00DE6D60" w:rsidP="00EE5F9F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Enea </w:t>
      </w:r>
      <w:r w:rsidR="00F065BB">
        <w:rPr>
          <w:color w:val="000000" w:themeColor="text1"/>
          <w:sz w:val="22"/>
        </w:rPr>
        <w:t xml:space="preserve">prowadzi </w:t>
      </w:r>
      <w:r>
        <w:rPr>
          <w:color w:val="000000" w:themeColor="text1"/>
          <w:sz w:val="22"/>
        </w:rPr>
        <w:t>sprzedaż energii elektryczne</w:t>
      </w:r>
      <w:r w:rsidR="00910F4C">
        <w:rPr>
          <w:color w:val="000000" w:themeColor="text1"/>
          <w:sz w:val="22"/>
        </w:rPr>
        <w:t>j</w:t>
      </w:r>
      <w:r w:rsidR="00F065BB">
        <w:rPr>
          <w:color w:val="000000" w:themeColor="text1"/>
          <w:sz w:val="22"/>
        </w:rPr>
        <w:t xml:space="preserve"> dla gospodarstw domowych i przedsiębiorców na terenie całego kraju</w:t>
      </w:r>
      <w:r w:rsidR="002362B2">
        <w:rPr>
          <w:color w:val="000000" w:themeColor="text1"/>
          <w:sz w:val="22"/>
        </w:rPr>
        <w:t>, ze szczególnym uwzględnieniem północno-zachodnich obszarów Polski.</w:t>
      </w:r>
      <w:r>
        <w:rPr>
          <w:color w:val="000000" w:themeColor="text1"/>
          <w:sz w:val="22"/>
        </w:rPr>
        <w:t xml:space="preserve"> </w:t>
      </w:r>
      <w:r w:rsidR="008B33B6">
        <w:rPr>
          <w:color w:val="000000" w:themeColor="text1"/>
          <w:sz w:val="22"/>
        </w:rPr>
        <w:t xml:space="preserve">Spółka </w:t>
      </w:r>
      <w:r w:rsidR="00572405">
        <w:rPr>
          <w:color w:val="000000" w:themeColor="text1"/>
          <w:sz w:val="22"/>
        </w:rPr>
        <w:t>proponowała</w:t>
      </w:r>
      <w:r w:rsidR="008B33B6">
        <w:rPr>
          <w:color w:val="000000" w:themeColor="text1"/>
          <w:sz w:val="22"/>
        </w:rPr>
        <w:t xml:space="preserve"> </w:t>
      </w:r>
      <w:r w:rsidR="00F065BB">
        <w:rPr>
          <w:color w:val="000000" w:themeColor="text1"/>
          <w:sz w:val="22"/>
        </w:rPr>
        <w:t>konsumentom</w:t>
      </w:r>
      <w:r w:rsidR="008B33B6">
        <w:rPr>
          <w:color w:val="000000" w:themeColor="text1"/>
          <w:sz w:val="22"/>
        </w:rPr>
        <w:t xml:space="preserve"> kilka wariantów umów gwarantujących niezmienność ceny prądu prze</w:t>
      </w:r>
      <w:r w:rsidR="00227942">
        <w:rPr>
          <w:color w:val="000000" w:themeColor="text1"/>
          <w:sz w:val="22"/>
        </w:rPr>
        <w:t>z</w:t>
      </w:r>
      <w:r w:rsidR="008B33B6">
        <w:rPr>
          <w:color w:val="000000" w:themeColor="text1"/>
          <w:sz w:val="22"/>
        </w:rPr>
        <w:t xml:space="preserve"> okres 24 lub </w:t>
      </w:r>
      <w:r w:rsidR="00D979CA">
        <w:rPr>
          <w:color w:val="000000" w:themeColor="text1"/>
          <w:sz w:val="22"/>
        </w:rPr>
        <w:t>3</w:t>
      </w:r>
      <w:r w:rsidR="008B33B6">
        <w:rPr>
          <w:color w:val="000000" w:themeColor="text1"/>
          <w:sz w:val="22"/>
        </w:rPr>
        <w:t>6 miesięcy</w:t>
      </w:r>
      <w:r w:rsidR="006840AF">
        <w:rPr>
          <w:color w:val="000000" w:themeColor="text1"/>
          <w:sz w:val="22"/>
        </w:rPr>
        <w:t xml:space="preserve">. </w:t>
      </w:r>
      <w:r w:rsidR="00CA6B5F">
        <w:rPr>
          <w:color w:val="000000" w:themeColor="text1"/>
          <w:sz w:val="22"/>
        </w:rPr>
        <w:t>W </w:t>
      </w:r>
      <w:r w:rsidR="00C45F90">
        <w:rPr>
          <w:color w:val="000000" w:themeColor="text1"/>
          <w:sz w:val="22"/>
        </w:rPr>
        <w:t>zamian za utrzymanie stałych cen</w:t>
      </w:r>
      <w:r w:rsidR="00227942">
        <w:rPr>
          <w:color w:val="000000" w:themeColor="text1"/>
          <w:sz w:val="22"/>
        </w:rPr>
        <w:t xml:space="preserve"> Enea</w:t>
      </w:r>
      <w:r w:rsidR="00C45F90">
        <w:rPr>
          <w:color w:val="000000" w:themeColor="text1"/>
          <w:sz w:val="22"/>
        </w:rPr>
        <w:t xml:space="preserve"> pobierała</w:t>
      </w:r>
      <w:r w:rsidR="00BC7D21">
        <w:rPr>
          <w:color w:val="000000" w:themeColor="text1"/>
          <w:sz w:val="22"/>
        </w:rPr>
        <w:t xml:space="preserve"> </w:t>
      </w:r>
      <w:r w:rsidR="00C45F90">
        <w:rPr>
          <w:color w:val="000000" w:themeColor="text1"/>
          <w:sz w:val="22"/>
        </w:rPr>
        <w:t>co miesiąc dodatkową opłatę</w:t>
      </w:r>
      <w:r w:rsidR="00433F0F">
        <w:rPr>
          <w:color w:val="000000" w:themeColor="text1"/>
          <w:sz w:val="22"/>
        </w:rPr>
        <w:t xml:space="preserve">. </w:t>
      </w:r>
      <w:r w:rsidR="00625929">
        <w:rPr>
          <w:color w:val="000000" w:themeColor="text1"/>
          <w:sz w:val="22"/>
        </w:rPr>
        <w:t>Chodziło o kwotę rzędu 20-30 zł, w</w:t>
      </w:r>
      <w:r w:rsidR="007E6317">
        <w:rPr>
          <w:color w:val="000000" w:themeColor="text1"/>
          <w:sz w:val="22"/>
        </w:rPr>
        <w:t> </w:t>
      </w:r>
      <w:r w:rsidR="00625929">
        <w:rPr>
          <w:color w:val="000000" w:themeColor="text1"/>
          <w:sz w:val="22"/>
        </w:rPr>
        <w:t xml:space="preserve">zależności od umowy i formy faktury. </w:t>
      </w:r>
      <w:r w:rsidR="00E2178C">
        <w:rPr>
          <w:color w:val="000000" w:themeColor="text1"/>
          <w:sz w:val="22"/>
        </w:rPr>
        <w:t>W toku postępowania zostało uprawdopodobnione, że i</w:t>
      </w:r>
      <w:r w:rsidR="00597D92">
        <w:rPr>
          <w:color w:val="000000" w:themeColor="text1"/>
          <w:sz w:val="22"/>
        </w:rPr>
        <w:t xml:space="preserve">nformacje o </w:t>
      </w:r>
      <w:r w:rsidR="00BC7D21">
        <w:rPr>
          <w:color w:val="000000" w:themeColor="text1"/>
          <w:sz w:val="22"/>
        </w:rPr>
        <w:t>tym</w:t>
      </w:r>
      <w:r w:rsidR="00597D92">
        <w:rPr>
          <w:color w:val="000000" w:themeColor="text1"/>
          <w:sz w:val="22"/>
        </w:rPr>
        <w:t xml:space="preserve"> były </w:t>
      </w:r>
      <w:r w:rsidR="00597D92" w:rsidRPr="00BB5A9D">
        <w:rPr>
          <w:color w:val="000000" w:themeColor="text1"/>
          <w:sz w:val="22"/>
        </w:rPr>
        <w:t>pomijane</w:t>
      </w:r>
      <w:r w:rsidR="00597D92">
        <w:rPr>
          <w:color w:val="000000" w:themeColor="text1"/>
          <w:sz w:val="22"/>
        </w:rPr>
        <w:t xml:space="preserve"> w części materiałów reklamowych i działa</w:t>
      </w:r>
      <w:r w:rsidR="006840AF">
        <w:rPr>
          <w:color w:val="000000" w:themeColor="text1"/>
          <w:sz w:val="22"/>
        </w:rPr>
        <w:t>ń</w:t>
      </w:r>
      <w:r w:rsidR="00597D92">
        <w:rPr>
          <w:color w:val="000000" w:themeColor="text1"/>
          <w:sz w:val="22"/>
        </w:rPr>
        <w:t xml:space="preserve"> marketingowych lub prezentowane w </w:t>
      </w:r>
      <w:r w:rsidR="006840AF">
        <w:rPr>
          <w:color w:val="000000" w:themeColor="text1"/>
          <w:sz w:val="22"/>
        </w:rPr>
        <w:t>niepełny sposób.</w:t>
      </w:r>
      <w:r w:rsidR="00597D92">
        <w:rPr>
          <w:color w:val="000000" w:themeColor="text1"/>
          <w:sz w:val="22"/>
        </w:rPr>
        <w:t xml:space="preserve"> </w:t>
      </w:r>
      <w:r w:rsidR="003B5FD3">
        <w:rPr>
          <w:color w:val="000000" w:themeColor="text1"/>
          <w:sz w:val="22"/>
        </w:rPr>
        <w:t>Spółka nie wskazywała</w:t>
      </w:r>
      <w:r w:rsidR="00597D92">
        <w:rPr>
          <w:color w:val="000000" w:themeColor="text1"/>
          <w:sz w:val="22"/>
        </w:rPr>
        <w:t xml:space="preserve">, że jest to </w:t>
      </w:r>
      <w:r w:rsidR="00DF7205">
        <w:rPr>
          <w:color w:val="000000" w:themeColor="text1"/>
          <w:sz w:val="22"/>
        </w:rPr>
        <w:t xml:space="preserve">zupełnie </w:t>
      </w:r>
      <w:r w:rsidR="00597D92">
        <w:rPr>
          <w:color w:val="000000" w:themeColor="text1"/>
          <w:sz w:val="22"/>
        </w:rPr>
        <w:t>nowa</w:t>
      </w:r>
      <w:r w:rsidR="00BC7D21">
        <w:rPr>
          <w:color w:val="000000" w:themeColor="text1"/>
          <w:sz w:val="22"/>
        </w:rPr>
        <w:t xml:space="preserve">, </w:t>
      </w:r>
      <w:r w:rsidR="00597D92">
        <w:rPr>
          <w:color w:val="000000" w:themeColor="text1"/>
          <w:sz w:val="22"/>
        </w:rPr>
        <w:t>obowiązkowa</w:t>
      </w:r>
      <w:r w:rsidR="00BC7D21">
        <w:rPr>
          <w:color w:val="000000" w:themeColor="text1"/>
          <w:sz w:val="22"/>
        </w:rPr>
        <w:t xml:space="preserve"> opłata, </w:t>
      </w:r>
      <w:r w:rsidR="00910F4C">
        <w:rPr>
          <w:color w:val="000000" w:themeColor="text1"/>
          <w:sz w:val="22"/>
        </w:rPr>
        <w:t>naliczana</w:t>
      </w:r>
      <w:r w:rsidR="00BC7D21">
        <w:rPr>
          <w:color w:val="000000" w:themeColor="text1"/>
          <w:sz w:val="22"/>
        </w:rPr>
        <w:t xml:space="preserve"> cyklicznie w </w:t>
      </w:r>
      <w:r w:rsidR="00597D92">
        <w:rPr>
          <w:color w:val="000000" w:themeColor="text1"/>
          <w:sz w:val="22"/>
        </w:rPr>
        <w:t>stałej wysokości, niezależn</w:t>
      </w:r>
      <w:r w:rsidR="00910F4C">
        <w:rPr>
          <w:color w:val="000000" w:themeColor="text1"/>
          <w:sz w:val="22"/>
        </w:rPr>
        <w:t>ie</w:t>
      </w:r>
      <w:r w:rsidR="00597D92">
        <w:rPr>
          <w:color w:val="000000" w:themeColor="text1"/>
          <w:sz w:val="22"/>
        </w:rPr>
        <w:t xml:space="preserve"> od </w:t>
      </w:r>
      <w:r w:rsidR="00BC7D21">
        <w:rPr>
          <w:color w:val="000000" w:themeColor="text1"/>
          <w:sz w:val="22"/>
        </w:rPr>
        <w:t xml:space="preserve">zużycia energii. Konsumenci mogli być </w:t>
      </w:r>
      <w:r w:rsidR="00E2178C">
        <w:rPr>
          <w:color w:val="000000" w:themeColor="text1"/>
          <w:sz w:val="22"/>
        </w:rPr>
        <w:t xml:space="preserve">wprowadzani </w:t>
      </w:r>
      <w:r w:rsidR="00BC7D21">
        <w:rPr>
          <w:color w:val="000000" w:themeColor="text1"/>
          <w:sz w:val="22"/>
        </w:rPr>
        <w:t xml:space="preserve">w błąd odnośnie </w:t>
      </w:r>
      <w:r w:rsidR="002A26BA">
        <w:rPr>
          <w:color w:val="000000" w:themeColor="text1"/>
          <w:sz w:val="22"/>
        </w:rPr>
        <w:t xml:space="preserve">do </w:t>
      </w:r>
      <w:r w:rsidR="00BC7D21">
        <w:rPr>
          <w:color w:val="000000" w:themeColor="text1"/>
          <w:sz w:val="22"/>
        </w:rPr>
        <w:t>tego, jaka będzie ostateczna wysokość</w:t>
      </w:r>
      <w:r w:rsidR="00943688">
        <w:rPr>
          <w:color w:val="000000" w:themeColor="text1"/>
          <w:sz w:val="22"/>
        </w:rPr>
        <w:t xml:space="preserve"> ich</w:t>
      </w:r>
      <w:r w:rsidR="00BC7D21">
        <w:rPr>
          <w:color w:val="000000" w:themeColor="text1"/>
          <w:sz w:val="22"/>
        </w:rPr>
        <w:t xml:space="preserve"> rachunku</w:t>
      </w:r>
      <w:r w:rsidR="00910F4C">
        <w:rPr>
          <w:color w:val="000000" w:themeColor="text1"/>
          <w:sz w:val="22"/>
        </w:rPr>
        <w:t>.</w:t>
      </w:r>
    </w:p>
    <w:p w14:paraId="59C89F7D" w14:textId="779F83B9" w:rsidR="00EC52E5" w:rsidRDefault="004E0F13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DF7205">
        <w:rPr>
          <w:i/>
          <w:sz w:val="22"/>
        </w:rPr>
        <w:t>Klienci spółki Enea</w:t>
      </w:r>
      <w:r w:rsidR="00154993">
        <w:rPr>
          <w:i/>
          <w:sz w:val="22"/>
        </w:rPr>
        <w:t xml:space="preserve"> nie byli należycie poinformowani</w:t>
      </w:r>
      <w:r w:rsidR="00DF7205">
        <w:rPr>
          <w:i/>
          <w:sz w:val="22"/>
        </w:rPr>
        <w:t xml:space="preserve">, że </w:t>
      </w:r>
      <w:r w:rsidR="00915785">
        <w:rPr>
          <w:i/>
          <w:sz w:val="22"/>
        </w:rPr>
        <w:t>po zawarciu umowy gwarantującej stałą cenę prądu, ich rachunki będą wyższe o kwotę opłaty handlowej. W</w:t>
      </w:r>
      <w:r w:rsidR="007E6317">
        <w:rPr>
          <w:i/>
          <w:sz w:val="22"/>
        </w:rPr>
        <w:t> </w:t>
      </w:r>
      <w:r w:rsidR="00915785">
        <w:rPr>
          <w:i/>
          <w:sz w:val="22"/>
        </w:rPr>
        <w:t xml:space="preserve">praktyce to </w:t>
      </w:r>
      <w:r w:rsidR="00154993">
        <w:rPr>
          <w:i/>
          <w:sz w:val="22"/>
        </w:rPr>
        <w:t>właśnie</w:t>
      </w:r>
      <w:r w:rsidR="00D47825">
        <w:rPr>
          <w:i/>
          <w:sz w:val="22"/>
        </w:rPr>
        <w:t xml:space="preserve"> wysokość tej opłaty</w:t>
      </w:r>
      <w:r w:rsidR="00154993">
        <w:rPr>
          <w:i/>
          <w:sz w:val="22"/>
        </w:rPr>
        <w:t xml:space="preserve"> </w:t>
      </w:r>
      <w:r w:rsidR="00D47825">
        <w:rPr>
          <w:i/>
          <w:sz w:val="22"/>
        </w:rPr>
        <w:t xml:space="preserve">pozwoliłaby </w:t>
      </w:r>
      <w:r w:rsidR="00915785">
        <w:rPr>
          <w:i/>
          <w:sz w:val="22"/>
        </w:rPr>
        <w:t xml:space="preserve">konsumentom </w:t>
      </w:r>
      <w:r w:rsidR="00154993">
        <w:rPr>
          <w:i/>
          <w:sz w:val="22"/>
        </w:rPr>
        <w:t xml:space="preserve">rzetelnie </w:t>
      </w:r>
      <w:r w:rsidR="00915785">
        <w:rPr>
          <w:i/>
          <w:sz w:val="22"/>
        </w:rPr>
        <w:t>ocenić atrakcyjność oferty. Przedsiębiorca ma obowiązek podawać konsumentom</w:t>
      </w:r>
      <w:r w:rsidR="00CA6B5F">
        <w:rPr>
          <w:i/>
          <w:sz w:val="22"/>
        </w:rPr>
        <w:t xml:space="preserve"> </w:t>
      </w:r>
      <w:r w:rsidR="00915785">
        <w:rPr>
          <w:i/>
          <w:sz w:val="22"/>
        </w:rPr>
        <w:t>informacje</w:t>
      </w:r>
      <w:r w:rsidR="00CA6B5F">
        <w:rPr>
          <w:i/>
          <w:sz w:val="22"/>
        </w:rPr>
        <w:t xml:space="preserve"> </w:t>
      </w:r>
      <w:r w:rsidR="00915785">
        <w:rPr>
          <w:i/>
          <w:sz w:val="22"/>
        </w:rPr>
        <w:t>w sposób jasny i</w:t>
      </w:r>
      <w:r w:rsidR="008E1E3D">
        <w:rPr>
          <w:i/>
          <w:sz w:val="22"/>
        </w:rPr>
        <w:t> </w:t>
      </w:r>
      <w:r w:rsidR="00915785">
        <w:rPr>
          <w:i/>
          <w:sz w:val="22"/>
        </w:rPr>
        <w:t xml:space="preserve">jednoznaczny </w:t>
      </w:r>
      <w:r w:rsidR="00CA6B5F">
        <w:rPr>
          <w:sz w:val="22"/>
        </w:rPr>
        <w:t xml:space="preserve">– mówi Prezes UOKiK Tomasz Chróstny. </w:t>
      </w:r>
    </w:p>
    <w:p w14:paraId="25A8C528" w14:textId="29345BA8" w:rsidR="00154993" w:rsidRDefault="00251BF7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Konsumenci, których reklamacje w tej sprawie </w:t>
      </w:r>
      <w:r w:rsidR="004C2D3E">
        <w:rPr>
          <w:sz w:val="22"/>
        </w:rPr>
        <w:t xml:space="preserve">były </w:t>
      </w:r>
      <w:r>
        <w:rPr>
          <w:sz w:val="22"/>
        </w:rPr>
        <w:t>odrzucone, ma</w:t>
      </w:r>
      <w:r w:rsidR="004C2D3E">
        <w:rPr>
          <w:sz w:val="22"/>
        </w:rPr>
        <w:t>ją</w:t>
      </w:r>
      <w:r>
        <w:rPr>
          <w:sz w:val="22"/>
        </w:rPr>
        <w:t xml:space="preserve"> prawo odzyskać </w:t>
      </w:r>
      <w:r w:rsidR="002A26BA">
        <w:rPr>
          <w:sz w:val="22"/>
        </w:rPr>
        <w:t xml:space="preserve">pieniądze, które </w:t>
      </w:r>
      <w:r w:rsidR="004C2D3E">
        <w:rPr>
          <w:sz w:val="22"/>
        </w:rPr>
        <w:t>wpłacili w ramach opłaty handlowej</w:t>
      </w:r>
      <w:r w:rsidR="002A26BA">
        <w:rPr>
          <w:sz w:val="22"/>
        </w:rPr>
        <w:t>.</w:t>
      </w:r>
      <w:r w:rsidR="007C2138">
        <w:rPr>
          <w:sz w:val="22"/>
        </w:rPr>
        <w:t xml:space="preserve"> </w:t>
      </w:r>
      <w:r>
        <w:rPr>
          <w:sz w:val="22"/>
        </w:rPr>
        <w:t>Wniosek o rekompensatę</w:t>
      </w:r>
      <w:r w:rsidR="00E2178C">
        <w:rPr>
          <w:sz w:val="22"/>
        </w:rPr>
        <w:t xml:space="preserve"> konsumenci</w:t>
      </w:r>
      <w:r>
        <w:rPr>
          <w:sz w:val="22"/>
        </w:rPr>
        <w:t xml:space="preserve"> </w:t>
      </w:r>
      <w:r w:rsidR="00D632FC">
        <w:rPr>
          <w:sz w:val="22"/>
        </w:rPr>
        <w:t xml:space="preserve">będą mogli </w:t>
      </w:r>
      <w:r>
        <w:rPr>
          <w:sz w:val="22"/>
        </w:rPr>
        <w:t xml:space="preserve">składać w ciągu 3 miesięcy od </w:t>
      </w:r>
      <w:r w:rsidR="00572BF3">
        <w:rPr>
          <w:sz w:val="22"/>
        </w:rPr>
        <w:t>momentu</w:t>
      </w:r>
      <w:r w:rsidR="00607C55">
        <w:rPr>
          <w:sz w:val="22"/>
        </w:rPr>
        <w:t>,</w:t>
      </w:r>
      <w:r>
        <w:rPr>
          <w:sz w:val="22"/>
        </w:rPr>
        <w:t xml:space="preserve"> gdy spółka</w:t>
      </w:r>
      <w:r w:rsidR="000F112B">
        <w:rPr>
          <w:sz w:val="22"/>
        </w:rPr>
        <w:t xml:space="preserve"> indywidualnie</w:t>
      </w:r>
      <w:r>
        <w:rPr>
          <w:sz w:val="22"/>
        </w:rPr>
        <w:t xml:space="preserve"> powiadomi ich o decyzji Prezesa UOKiK. </w:t>
      </w:r>
    </w:p>
    <w:p w14:paraId="021EAB04" w14:textId="4F4A08F0" w:rsidR="00251BF7" w:rsidRDefault="00FD011F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Enea </w:t>
      </w:r>
      <w:r w:rsidR="00251BF7">
        <w:rPr>
          <w:sz w:val="22"/>
        </w:rPr>
        <w:t xml:space="preserve">wycofała się z oferowania umów gwarantujących </w:t>
      </w:r>
      <w:r w:rsidR="00CD04AA">
        <w:rPr>
          <w:sz w:val="22"/>
        </w:rPr>
        <w:t xml:space="preserve">stałą </w:t>
      </w:r>
      <w:r w:rsidR="00251BF7">
        <w:rPr>
          <w:sz w:val="22"/>
        </w:rPr>
        <w:t>cenę prądu</w:t>
      </w:r>
      <w:r w:rsidR="0013632E">
        <w:rPr>
          <w:sz w:val="22"/>
        </w:rPr>
        <w:t xml:space="preserve"> </w:t>
      </w:r>
      <w:r w:rsidR="00251BF7">
        <w:rPr>
          <w:sz w:val="22"/>
        </w:rPr>
        <w:t>1 czerwca 2021</w:t>
      </w:r>
      <w:r w:rsidR="0013632E">
        <w:rPr>
          <w:sz w:val="22"/>
        </w:rPr>
        <w:t> </w:t>
      </w:r>
      <w:r w:rsidR="00251BF7">
        <w:rPr>
          <w:sz w:val="22"/>
        </w:rPr>
        <w:t>r.</w:t>
      </w:r>
      <w:r w:rsidR="00A41956">
        <w:rPr>
          <w:sz w:val="22"/>
        </w:rPr>
        <w:t xml:space="preserve"> </w:t>
      </w:r>
      <w:r w:rsidR="008D1006">
        <w:rPr>
          <w:sz w:val="22"/>
        </w:rPr>
        <w:t>Aktualnym klientom firmy, których dotyczy zobowiązanie, spółka przyzna dodatkow</w:t>
      </w:r>
      <w:r>
        <w:rPr>
          <w:sz w:val="22"/>
        </w:rPr>
        <w:t>o</w:t>
      </w:r>
      <w:r w:rsidR="008D1006">
        <w:rPr>
          <w:sz w:val="22"/>
        </w:rPr>
        <w:t xml:space="preserve"> 550 zł </w:t>
      </w:r>
      <w:r>
        <w:rPr>
          <w:sz w:val="22"/>
        </w:rPr>
        <w:t>w postaci kodu rabatowego do</w:t>
      </w:r>
      <w:r w:rsidR="007C2138">
        <w:rPr>
          <w:sz w:val="22"/>
        </w:rPr>
        <w:t xml:space="preserve"> </w:t>
      </w:r>
      <w:r w:rsidR="00A41956">
        <w:rPr>
          <w:sz w:val="22"/>
        </w:rPr>
        <w:t>internetowej</w:t>
      </w:r>
      <w:r>
        <w:rPr>
          <w:sz w:val="22"/>
        </w:rPr>
        <w:t xml:space="preserve"> Stref</w:t>
      </w:r>
      <w:r w:rsidR="00EF4ED5">
        <w:rPr>
          <w:sz w:val="22"/>
        </w:rPr>
        <w:t>y</w:t>
      </w:r>
      <w:r>
        <w:rPr>
          <w:sz w:val="22"/>
        </w:rPr>
        <w:t xml:space="preserve"> Zakupów</w:t>
      </w:r>
      <w:r w:rsidR="00EF4ED5">
        <w:rPr>
          <w:sz w:val="22"/>
        </w:rPr>
        <w:t xml:space="preserve"> Enei</w:t>
      </w:r>
      <w:r>
        <w:rPr>
          <w:sz w:val="22"/>
        </w:rPr>
        <w:t xml:space="preserve">. Szczegóły zostały zawarte w </w:t>
      </w:r>
      <w:hyperlink r:id="rId9" w:history="1">
        <w:r w:rsidRPr="001C4E19">
          <w:rPr>
            <w:rStyle w:val="Hipercze"/>
            <w:sz w:val="22"/>
          </w:rPr>
          <w:t>decyzji</w:t>
        </w:r>
      </w:hyperlink>
      <w:r>
        <w:rPr>
          <w:sz w:val="22"/>
        </w:rPr>
        <w:t xml:space="preserve">, o której spółka poinformuje również na swojej stronie internetowej oraz portalu Facebook. </w:t>
      </w:r>
    </w:p>
    <w:p w14:paraId="7162C936" w14:textId="651F2C02" w:rsidR="004E75F7" w:rsidRPr="004E75F7" w:rsidRDefault="00FF4F9C" w:rsidP="00DD2D4B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Warunki wypowiedzenia umowy </w:t>
      </w:r>
    </w:p>
    <w:p w14:paraId="50E31AF1" w14:textId="479034A4" w:rsidR="00541554" w:rsidRDefault="005F7AE4" w:rsidP="00FB02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Druga </w:t>
      </w:r>
      <w:hyperlink r:id="rId10" w:history="1">
        <w:r w:rsidRPr="001C4E19">
          <w:rPr>
            <w:rStyle w:val="Hipercze"/>
            <w:sz w:val="22"/>
          </w:rPr>
          <w:t>decyzja</w:t>
        </w:r>
      </w:hyperlink>
      <w:bookmarkStart w:id="1" w:name="_GoBack"/>
      <w:bookmarkEnd w:id="1"/>
      <w:r>
        <w:rPr>
          <w:sz w:val="22"/>
        </w:rPr>
        <w:t xml:space="preserve"> </w:t>
      </w:r>
      <w:r w:rsidR="004E75F7">
        <w:rPr>
          <w:sz w:val="22"/>
        </w:rPr>
        <w:t xml:space="preserve">dotyczy </w:t>
      </w:r>
      <w:r w:rsidR="002E6F44">
        <w:rPr>
          <w:sz w:val="22"/>
        </w:rPr>
        <w:t>niedozwolonych klauzul umownych, jakie Enea stosowała w ofertach sprzedaż</w:t>
      </w:r>
      <w:r w:rsidR="00FF4F9C">
        <w:rPr>
          <w:sz w:val="22"/>
        </w:rPr>
        <w:t>y</w:t>
      </w:r>
      <w:r w:rsidR="002E6F44">
        <w:rPr>
          <w:sz w:val="22"/>
        </w:rPr>
        <w:t xml:space="preserve"> energii elektrycznej z gwarancją stałej ceny</w:t>
      </w:r>
      <w:r w:rsidR="00C0216C">
        <w:rPr>
          <w:sz w:val="22"/>
        </w:rPr>
        <w:t>.</w:t>
      </w:r>
    </w:p>
    <w:p w14:paraId="1CB6B912" w14:textId="350F47CC" w:rsidR="00541554" w:rsidRDefault="00541554" w:rsidP="0054155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541554">
        <w:rPr>
          <w:i/>
          <w:sz w:val="22"/>
        </w:rPr>
        <w:t>Prze</w:t>
      </w:r>
      <w:r w:rsidR="00CD04AA">
        <w:rPr>
          <w:i/>
          <w:sz w:val="22"/>
        </w:rPr>
        <w:t>a</w:t>
      </w:r>
      <w:r w:rsidRPr="00541554">
        <w:rPr>
          <w:i/>
          <w:sz w:val="22"/>
        </w:rPr>
        <w:t xml:space="preserve">nalizowaliśmy warunki wypowiadania umów i nasze </w:t>
      </w:r>
      <w:r w:rsidRPr="00541554">
        <w:rPr>
          <w:i/>
          <w:iCs/>
          <w:sz w:val="22"/>
        </w:rPr>
        <w:t xml:space="preserve">wątpliwości wzbudziły </w:t>
      </w:r>
      <w:r w:rsidR="002A26BA">
        <w:rPr>
          <w:i/>
          <w:iCs/>
          <w:sz w:val="22"/>
        </w:rPr>
        <w:t>postanowienia</w:t>
      </w:r>
      <w:r w:rsidRPr="00541554">
        <w:rPr>
          <w:i/>
          <w:iCs/>
          <w:sz w:val="22"/>
        </w:rPr>
        <w:t>, które w przypadku przedterminowego rozwiązania umowy przez konsumenta nakładały na niego zryczałtowaną opłatę</w:t>
      </w:r>
      <w:r>
        <w:rPr>
          <w:i/>
          <w:iCs/>
          <w:sz w:val="22"/>
        </w:rPr>
        <w:t>. Wynosiła ona</w:t>
      </w:r>
      <w:r w:rsidRPr="00541554">
        <w:rPr>
          <w:i/>
          <w:iCs/>
          <w:sz w:val="22"/>
        </w:rPr>
        <w:t xml:space="preserve"> 30 zł za każdy miesiąc pozostał</w:t>
      </w:r>
      <w:r>
        <w:rPr>
          <w:i/>
          <w:iCs/>
          <w:sz w:val="22"/>
        </w:rPr>
        <w:t>y</w:t>
      </w:r>
      <w:r w:rsidRPr="00541554">
        <w:rPr>
          <w:i/>
          <w:iCs/>
          <w:sz w:val="22"/>
        </w:rPr>
        <w:t xml:space="preserve"> do końca trwania tej umowy</w:t>
      </w:r>
      <w:r>
        <w:rPr>
          <w:i/>
          <w:iCs/>
          <w:sz w:val="22"/>
        </w:rPr>
        <w:t xml:space="preserve"> i ni</w:t>
      </w:r>
      <w:r w:rsidRPr="00541554">
        <w:rPr>
          <w:i/>
          <w:iCs/>
          <w:sz w:val="22"/>
        </w:rPr>
        <w:t>e m</w:t>
      </w:r>
      <w:r>
        <w:rPr>
          <w:i/>
          <w:iCs/>
          <w:sz w:val="22"/>
        </w:rPr>
        <w:t>iała</w:t>
      </w:r>
      <w:r w:rsidRPr="00541554">
        <w:rPr>
          <w:i/>
          <w:iCs/>
          <w:sz w:val="22"/>
        </w:rPr>
        <w:t xml:space="preserve"> uzasadnienia w kosztach ponoszonych przez spółkę. Celem takiego zapisu </w:t>
      </w:r>
      <w:r>
        <w:rPr>
          <w:i/>
          <w:iCs/>
          <w:sz w:val="22"/>
        </w:rPr>
        <w:t>było</w:t>
      </w:r>
      <w:r w:rsidRPr="00541554">
        <w:rPr>
          <w:i/>
          <w:iCs/>
          <w:sz w:val="22"/>
        </w:rPr>
        <w:t xml:space="preserve"> wymuszenie na klientach dalszego korzystania z usług Enei. Ogranicza</w:t>
      </w:r>
      <w:r>
        <w:rPr>
          <w:i/>
          <w:iCs/>
          <w:sz w:val="22"/>
        </w:rPr>
        <w:t xml:space="preserve">ło </w:t>
      </w:r>
      <w:r w:rsidRPr="00541554">
        <w:rPr>
          <w:i/>
          <w:iCs/>
          <w:sz w:val="22"/>
        </w:rPr>
        <w:t>to</w:t>
      </w:r>
      <w:r w:rsidR="00A6660A">
        <w:rPr>
          <w:i/>
          <w:iCs/>
          <w:sz w:val="22"/>
        </w:rPr>
        <w:t xml:space="preserve"> bezpodstawnie</w:t>
      </w:r>
      <w:r w:rsidRPr="00541554">
        <w:rPr>
          <w:i/>
          <w:iCs/>
          <w:sz w:val="22"/>
        </w:rPr>
        <w:t xml:space="preserve"> swobodę wyboru sprzedawcy energii elektrycznej</w:t>
      </w:r>
      <w:r w:rsidR="00A6660A">
        <w:rPr>
          <w:i/>
          <w:iCs/>
          <w:sz w:val="22"/>
        </w:rPr>
        <w:t xml:space="preserve"> </w:t>
      </w:r>
      <w:r>
        <w:rPr>
          <w:sz w:val="22"/>
        </w:rPr>
        <w:t>– mówi Prezes UOKiK Tomasz Chróstny.</w:t>
      </w:r>
    </w:p>
    <w:p w14:paraId="390B30CE" w14:textId="2A78B5BA" w:rsidR="005F7C2C" w:rsidRDefault="0072797A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razie wypowiedzenia umowy konsument był zobowiązany do zapłaty </w:t>
      </w:r>
      <w:r w:rsidR="00D47825">
        <w:rPr>
          <w:sz w:val="22"/>
        </w:rPr>
        <w:t xml:space="preserve">kary stanowiącej </w:t>
      </w:r>
      <w:r w:rsidR="00CD04AA">
        <w:rPr>
          <w:sz w:val="22"/>
        </w:rPr>
        <w:t xml:space="preserve">równowartość </w:t>
      </w:r>
      <w:r>
        <w:rPr>
          <w:sz w:val="22"/>
        </w:rPr>
        <w:t xml:space="preserve">opłat </w:t>
      </w:r>
      <w:r w:rsidR="00CD04AA">
        <w:rPr>
          <w:sz w:val="22"/>
        </w:rPr>
        <w:t xml:space="preserve">handlowych przewidzianych </w:t>
      </w:r>
      <w:r>
        <w:rPr>
          <w:sz w:val="22"/>
        </w:rPr>
        <w:t xml:space="preserve">w umowie do końca jej obowiązywania. Mogło to </w:t>
      </w:r>
      <w:r w:rsidR="00EF4ED5">
        <w:rPr>
          <w:sz w:val="22"/>
        </w:rPr>
        <w:t xml:space="preserve">powstrzymywać konsumentów przed rozwiązaniem umowy. </w:t>
      </w:r>
    </w:p>
    <w:p w14:paraId="15CF836B" w14:textId="44CDAD09" w:rsidR="00071B7B" w:rsidRDefault="00466DE5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Enea </w:t>
      </w:r>
      <w:r w:rsidR="00423D21">
        <w:rPr>
          <w:sz w:val="22"/>
        </w:rPr>
        <w:t xml:space="preserve">indywidualnie </w:t>
      </w:r>
      <w:r w:rsidR="00071B7B">
        <w:rPr>
          <w:sz w:val="22"/>
        </w:rPr>
        <w:t xml:space="preserve">skontaktuje się z konsumentami, </w:t>
      </w:r>
      <w:r w:rsidR="00423D21">
        <w:rPr>
          <w:sz w:val="22"/>
        </w:rPr>
        <w:t>których dotyczy rekompensata</w:t>
      </w:r>
      <w:r w:rsidR="00071B7B">
        <w:rPr>
          <w:sz w:val="22"/>
        </w:rPr>
        <w:t xml:space="preserve"> </w:t>
      </w:r>
      <w:r w:rsidR="00423D21">
        <w:rPr>
          <w:sz w:val="22"/>
        </w:rPr>
        <w:t>i</w:t>
      </w:r>
      <w:r w:rsidR="008E1E3D">
        <w:rPr>
          <w:sz w:val="22"/>
        </w:rPr>
        <w:t> </w:t>
      </w:r>
      <w:r w:rsidR="00423D21">
        <w:rPr>
          <w:sz w:val="22"/>
        </w:rPr>
        <w:t>automatycznie zwróci im niesłusznie pobrane opłaty</w:t>
      </w:r>
      <w:r w:rsidR="000301CE">
        <w:rPr>
          <w:sz w:val="22"/>
        </w:rPr>
        <w:t xml:space="preserve"> za wcześniejsze rozwiązanie umowy</w:t>
      </w:r>
      <w:r w:rsidR="00423D21">
        <w:rPr>
          <w:sz w:val="22"/>
        </w:rPr>
        <w:t xml:space="preserve">. </w:t>
      </w:r>
      <w:r w:rsidR="000301CE">
        <w:rPr>
          <w:sz w:val="22"/>
        </w:rPr>
        <w:t>Wskazani</w:t>
      </w:r>
      <w:r w:rsidR="00423D21">
        <w:rPr>
          <w:sz w:val="22"/>
        </w:rPr>
        <w:t xml:space="preserve"> w zobowiązaniu</w:t>
      </w:r>
      <w:r w:rsidR="000301CE">
        <w:rPr>
          <w:sz w:val="22"/>
        </w:rPr>
        <w:t xml:space="preserve"> </w:t>
      </w:r>
      <w:r w:rsidR="00D679F9">
        <w:rPr>
          <w:sz w:val="22"/>
        </w:rPr>
        <w:t xml:space="preserve">aktualni </w:t>
      </w:r>
      <w:r w:rsidR="000301CE">
        <w:rPr>
          <w:sz w:val="22"/>
        </w:rPr>
        <w:t xml:space="preserve">klienci firmy otrzymają </w:t>
      </w:r>
      <w:r w:rsidR="00423D21">
        <w:rPr>
          <w:sz w:val="22"/>
        </w:rPr>
        <w:t xml:space="preserve">dodatkowo 550 zł w postaci kodu rabatowego do </w:t>
      </w:r>
      <w:r w:rsidR="008F04FF">
        <w:rPr>
          <w:sz w:val="22"/>
        </w:rPr>
        <w:t xml:space="preserve">sklepu internetowego - </w:t>
      </w:r>
      <w:r w:rsidR="00423D21">
        <w:rPr>
          <w:sz w:val="22"/>
        </w:rPr>
        <w:t>Strefy Zakupów En</w:t>
      </w:r>
      <w:r w:rsidR="00071B7B">
        <w:rPr>
          <w:sz w:val="22"/>
        </w:rPr>
        <w:t>ei.</w:t>
      </w:r>
      <w:r w:rsidR="000301CE">
        <w:rPr>
          <w:sz w:val="22"/>
        </w:rPr>
        <w:t xml:space="preserve"> Spółka zamieści informacje o</w:t>
      </w:r>
      <w:r w:rsidR="008E1E3D">
        <w:rPr>
          <w:sz w:val="22"/>
        </w:rPr>
        <w:t> </w:t>
      </w:r>
      <w:r w:rsidR="000301CE" w:rsidRPr="0068695B">
        <w:rPr>
          <w:sz w:val="22"/>
        </w:rPr>
        <w:t>decyzji</w:t>
      </w:r>
      <w:r w:rsidR="000301CE">
        <w:rPr>
          <w:sz w:val="22"/>
        </w:rPr>
        <w:t xml:space="preserve"> Prezesa UOKiK na stronie internetowej i swoim profilu na portalu Facebook.</w:t>
      </w:r>
    </w:p>
    <w:p w14:paraId="418E48DC" w14:textId="6C1F5789" w:rsidR="008F04FF" w:rsidRDefault="008F04FF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t>Spółka Enea uruchomi także dedykowaną dla konsumentów infolinię, gdzie będzie można uzyskać więcej informacji na temat przysługujących konsumentom rekompensat.</w:t>
      </w:r>
    </w:p>
    <w:p w14:paraId="779ED0CF" w14:textId="20538616" w:rsidR="00466DE5" w:rsidRDefault="00466DE5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Rynek energetyczny jest jednym z priorytetów Prezesa UOKiK, który</w:t>
      </w:r>
      <w:r w:rsidR="00A20201">
        <w:rPr>
          <w:sz w:val="22"/>
        </w:rPr>
        <w:t xml:space="preserve"> regularnie przygląda się działaniom branży i weryfikuje stosowane w relacji z konsumentami </w:t>
      </w:r>
      <w:r w:rsidR="002F29A4">
        <w:rPr>
          <w:sz w:val="22"/>
        </w:rPr>
        <w:t>umowy</w:t>
      </w:r>
      <w:r w:rsidR="00A20201">
        <w:rPr>
          <w:sz w:val="22"/>
        </w:rPr>
        <w:t xml:space="preserve">. W ubiegłych latach za </w:t>
      </w:r>
      <w:r w:rsidR="00C47DF8">
        <w:rPr>
          <w:sz w:val="22"/>
        </w:rPr>
        <w:t>stosowanie niedozwolonych klauzul</w:t>
      </w:r>
      <w:r w:rsidR="00A20201">
        <w:rPr>
          <w:sz w:val="22"/>
        </w:rPr>
        <w:t xml:space="preserve"> wydał decyzje zobowiązujące </w:t>
      </w:r>
      <w:r w:rsidR="008A4E3E">
        <w:rPr>
          <w:sz w:val="22"/>
        </w:rPr>
        <w:t>wobec</w:t>
      </w:r>
      <w:r w:rsidR="00A20201">
        <w:rPr>
          <w:sz w:val="22"/>
        </w:rPr>
        <w:t xml:space="preserve"> spół</w:t>
      </w:r>
      <w:r w:rsidR="008A4E3E">
        <w:rPr>
          <w:sz w:val="22"/>
        </w:rPr>
        <w:t>ek</w:t>
      </w:r>
      <w:r w:rsidR="00A20201">
        <w:rPr>
          <w:sz w:val="22"/>
        </w:rPr>
        <w:t xml:space="preserve"> </w:t>
      </w:r>
      <w:hyperlink r:id="rId11" w:history="1">
        <w:r w:rsidR="00A20201" w:rsidRPr="0088640C">
          <w:rPr>
            <w:rStyle w:val="Hipercze"/>
            <w:sz w:val="22"/>
          </w:rPr>
          <w:t>Tauron</w:t>
        </w:r>
      </w:hyperlink>
      <w:r w:rsidR="00A20201">
        <w:rPr>
          <w:sz w:val="22"/>
        </w:rPr>
        <w:t xml:space="preserve">, </w:t>
      </w:r>
      <w:hyperlink r:id="rId12" w:history="1">
        <w:r w:rsidR="006F2511" w:rsidRPr="006F2511">
          <w:rPr>
            <w:rStyle w:val="Hipercze"/>
            <w:sz w:val="22"/>
          </w:rPr>
          <w:t>PGE Obrót</w:t>
        </w:r>
      </w:hyperlink>
      <w:r w:rsidR="00A20201">
        <w:rPr>
          <w:sz w:val="22"/>
        </w:rPr>
        <w:t xml:space="preserve"> oraz</w:t>
      </w:r>
      <w:r w:rsidR="00A41956">
        <w:rPr>
          <w:sz w:val="22"/>
        </w:rPr>
        <w:t xml:space="preserve"> nałożył karę na</w:t>
      </w:r>
      <w:r w:rsidR="00A20201">
        <w:rPr>
          <w:sz w:val="22"/>
        </w:rPr>
        <w:t xml:space="preserve"> </w:t>
      </w:r>
      <w:hyperlink r:id="rId13" w:history="1">
        <w:r w:rsidR="00A20201" w:rsidRPr="00A20201">
          <w:rPr>
            <w:rStyle w:val="Hipercze"/>
            <w:sz w:val="22"/>
          </w:rPr>
          <w:t>Polski Prąd i Gaz</w:t>
        </w:r>
      </w:hyperlink>
      <w:r w:rsidR="00A20201">
        <w:rPr>
          <w:sz w:val="22"/>
        </w:rPr>
        <w:t xml:space="preserve">. </w:t>
      </w:r>
    </w:p>
    <w:p w14:paraId="56A082C0" w14:textId="77777777" w:rsidR="00E85118" w:rsidRDefault="00E85118" w:rsidP="00E85118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170C549" w14:textId="170548FF" w:rsidR="00BC373E" w:rsidRPr="00B479FD" w:rsidRDefault="00E85118" w:rsidP="00B479FD">
      <w:pPr>
        <w:rPr>
          <w:b/>
          <w:bCs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2" w:name="_Hlk120527957"/>
      <w:r>
        <w:rPr>
          <w:rFonts w:cs="Tahoma"/>
          <w:szCs w:val="18"/>
        </w:rPr>
        <w:t xml:space="preserve">801 440 220 lub 222 66 76 76 </w:t>
      </w:r>
      <w:bookmarkEnd w:id="2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14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5" w:history="1">
        <w:r>
          <w:rPr>
            <w:rStyle w:val="Hipercze"/>
            <w:rFonts w:cs="Tahoma"/>
            <w:color w:val="133C8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</w:t>
      </w:r>
      <w:r w:rsidR="00B479FD">
        <w:rPr>
          <w:rFonts w:cs="Tahoma"/>
          <w:szCs w:val="18"/>
        </w:rPr>
        <w:t>.</w:t>
      </w:r>
    </w:p>
    <w:sectPr w:rsidR="00BC373E" w:rsidRPr="00B479FD" w:rsidSect="00A6660A">
      <w:headerReference w:type="default" r:id="rId16"/>
      <w:footerReference w:type="default" r:id="rId17"/>
      <w:pgSz w:w="11906" w:h="16838"/>
      <w:pgMar w:top="1843" w:right="1417" w:bottom="1985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AD25B" w14:textId="77777777" w:rsidR="00C367AF" w:rsidRDefault="00C367AF">
      <w:r>
        <w:separator/>
      </w:r>
    </w:p>
  </w:endnote>
  <w:endnote w:type="continuationSeparator" w:id="0">
    <w:p w14:paraId="241F2CD3" w14:textId="77777777" w:rsidR="00C367AF" w:rsidRDefault="00C3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7902" w14:textId="77777777" w:rsidR="00C367AF" w:rsidRDefault="00C367AF">
      <w:r>
        <w:separator/>
      </w:r>
    </w:p>
  </w:footnote>
  <w:footnote w:type="continuationSeparator" w:id="0">
    <w:p w14:paraId="5EC79998" w14:textId="77777777" w:rsidR="00C367AF" w:rsidRDefault="00C3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4ADC"/>
    <w:rsid w:val="00022E00"/>
    <w:rsid w:val="00023634"/>
    <w:rsid w:val="0002523D"/>
    <w:rsid w:val="000301CE"/>
    <w:rsid w:val="00035F7B"/>
    <w:rsid w:val="00042F96"/>
    <w:rsid w:val="0005678E"/>
    <w:rsid w:val="00063AB0"/>
    <w:rsid w:val="000651E9"/>
    <w:rsid w:val="00070BDB"/>
    <w:rsid w:val="00071B7B"/>
    <w:rsid w:val="00073AA7"/>
    <w:rsid w:val="000838C2"/>
    <w:rsid w:val="000913F7"/>
    <w:rsid w:val="000A1E7D"/>
    <w:rsid w:val="000A74FA"/>
    <w:rsid w:val="000B149D"/>
    <w:rsid w:val="000B1AC5"/>
    <w:rsid w:val="000B7247"/>
    <w:rsid w:val="000C7CFB"/>
    <w:rsid w:val="000F112B"/>
    <w:rsid w:val="000F47DB"/>
    <w:rsid w:val="00103198"/>
    <w:rsid w:val="0010559C"/>
    <w:rsid w:val="00106D3E"/>
    <w:rsid w:val="00107844"/>
    <w:rsid w:val="001111CA"/>
    <w:rsid w:val="0011400B"/>
    <w:rsid w:val="001144DD"/>
    <w:rsid w:val="00116102"/>
    <w:rsid w:val="00120FBD"/>
    <w:rsid w:val="0012424D"/>
    <w:rsid w:val="001269BB"/>
    <w:rsid w:val="0013159A"/>
    <w:rsid w:val="00135455"/>
    <w:rsid w:val="0013632E"/>
    <w:rsid w:val="00143029"/>
    <w:rsid w:val="00143310"/>
    <w:rsid w:val="00144611"/>
    <w:rsid w:val="00144E9C"/>
    <w:rsid w:val="00150DCD"/>
    <w:rsid w:val="00154993"/>
    <w:rsid w:val="0016078E"/>
    <w:rsid w:val="00161094"/>
    <w:rsid w:val="00163DF9"/>
    <w:rsid w:val="001666D6"/>
    <w:rsid w:val="00166B5D"/>
    <w:rsid w:val="001675EF"/>
    <w:rsid w:val="0017028A"/>
    <w:rsid w:val="001717C7"/>
    <w:rsid w:val="00190D5A"/>
    <w:rsid w:val="001979B5"/>
    <w:rsid w:val="001A5F7C"/>
    <w:rsid w:val="001A6E5B"/>
    <w:rsid w:val="001A7451"/>
    <w:rsid w:val="001C1FAD"/>
    <w:rsid w:val="001C4E19"/>
    <w:rsid w:val="001C6E51"/>
    <w:rsid w:val="001E188E"/>
    <w:rsid w:val="001E4F92"/>
    <w:rsid w:val="001F4A73"/>
    <w:rsid w:val="0020105E"/>
    <w:rsid w:val="00205580"/>
    <w:rsid w:val="002157BB"/>
    <w:rsid w:val="00221024"/>
    <w:rsid w:val="002262B5"/>
    <w:rsid w:val="00227942"/>
    <w:rsid w:val="0023138D"/>
    <w:rsid w:val="002325C6"/>
    <w:rsid w:val="002362B2"/>
    <w:rsid w:val="002379B9"/>
    <w:rsid w:val="00240013"/>
    <w:rsid w:val="0024118E"/>
    <w:rsid w:val="00241BAC"/>
    <w:rsid w:val="002436AA"/>
    <w:rsid w:val="002502C3"/>
    <w:rsid w:val="00251BF7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10BA"/>
    <w:rsid w:val="002A26BA"/>
    <w:rsid w:val="002A5D69"/>
    <w:rsid w:val="002B1DBF"/>
    <w:rsid w:val="002C0D5D"/>
    <w:rsid w:val="002C1818"/>
    <w:rsid w:val="002C5AF4"/>
    <w:rsid w:val="002C692D"/>
    <w:rsid w:val="002C6ABE"/>
    <w:rsid w:val="002D0BE2"/>
    <w:rsid w:val="002D19F7"/>
    <w:rsid w:val="002D5EED"/>
    <w:rsid w:val="002E162E"/>
    <w:rsid w:val="002E29E8"/>
    <w:rsid w:val="002E388C"/>
    <w:rsid w:val="002E6F44"/>
    <w:rsid w:val="002E7EEE"/>
    <w:rsid w:val="002F1BF3"/>
    <w:rsid w:val="002F29A4"/>
    <w:rsid w:val="002F2F3C"/>
    <w:rsid w:val="002F30D4"/>
    <w:rsid w:val="002F4D43"/>
    <w:rsid w:val="002F6D73"/>
    <w:rsid w:val="002F7F4C"/>
    <w:rsid w:val="003056C6"/>
    <w:rsid w:val="00310436"/>
    <w:rsid w:val="00310A95"/>
    <w:rsid w:val="00311B14"/>
    <w:rsid w:val="00324306"/>
    <w:rsid w:val="003278D6"/>
    <w:rsid w:val="003303F0"/>
    <w:rsid w:val="00332E4A"/>
    <w:rsid w:val="0034059B"/>
    <w:rsid w:val="00341586"/>
    <w:rsid w:val="0035019C"/>
    <w:rsid w:val="00360248"/>
    <w:rsid w:val="00360C66"/>
    <w:rsid w:val="00362CB6"/>
    <w:rsid w:val="00363029"/>
    <w:rsid w:val="00366A46"/>
    <w:rsid w:val="003714BB"/>
    <w:rsid w:val="00377810"/>
    <w:rsid w:val="00377A0D"/>
    <w:rsid w:val="0038677D"/>
    <w:rsid w:val="00386B53"/>
    <w:rsid w:val="00390405"/>
    <w:rsid w:val="00394032"/>
    <w:rsid w:val="003A47D6"/>
    <w:rsid w:val="003B5CDF"/>
    <w:rsid w:val="003B5FD3"/>
    <w:rsid w:val="003B7C19"/>
    <w:rsid w:val="003C06A8"/>
    <w:rsid w:val="003D1FD8"/>
    <w:rsid w:val="003D236D"/>
    <w:rsid w:val="003D3FF4"/>
    <w:rsid w:val="003D5DCC"/>
    <w:rsid w:val="003D7161"/>
    <w:rsid w:val="003E3F9D"/>
    <w:rsid w:val="003E69E5"/>
    <w:rsid w:val="00400CFB"/>
    <w:rsid w:val="0040446B"/>
    <w:rsid w:val="00406314"/>
    <w:rsid w:val="0040748E"/>
    <w:rsid w:val="00412206"/>
    <w:rsid w:val="00423D21"/>
    <w:rsid w:val="00427E08"/>
    <w:rsid w:val="00430491"/>
    <w:rsid w:val="00432A3D"/>
    <w:rsid w:val="00433F0F"/>
    <w:rsid w:val="00433F7A"/>
    <w:rsid w:val="004349BA"/>
    <w:rsid w:val="0043575C"/>
    <w:rsid w:val="004365C7"/>
    <w:rsid w:val="00436CEE"/>
    <w:rsid w:val="004425B7"/>
    <w:rsid w:val="00444A85"/>
    <w:rsid w:val="00450331"/>
    <w:rsid w:val="004620D2"/>
    <w:rsid w:val="00462CFA"/>
    <w:rsid w:val="00466DE5"/>
    <w:rsid w:val="004840FE"/>
    <w:rsid w:val="00486DB1"/>
    <w:rsid w:val="004872FF"/>
    <w:rsid w:val="00487364"/>
    <w:rsid w:val="0048781B"/>
    <w:rsid w:val="00487D0E"/>
    <w:rsid w:val="00493E10"/>
    <w:rsid w:val="004972E8"/>
    <w:rsid w:val="004A5353"/>
    <w:rsid w:val="004B2444"/>
    <w:rsid w:val="004C0F9E"/>
    <w:rsid w:val="004C1243"/>
    <w:rsid w:val="004C2D3E"/>
    <w:rsid w:val="004C3D4C"/>
    <w:rsid w:val="004C5C26"/>
    <w:rsid w:val="004D13CB"/>
    <w:rsid w:val="004D394F"/>
    <w:rsid w:val="004D53B7"/>
    <w:rsid w:val="004E0F13"/>
    <w:rsid w:val="004E75F7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1554"/>
    <w:rsid w:val="005442FC"/>
    <w:rsid w:val="00544E18"/>
    <w:rsid w:val="005470CA"/>
    <w:rsid w:val="0055631D"/>
    <w:rsid w:val="00563889"/>
    <w:rsid w:val="005645CE"/>
    <w:rsid w:val="00572405"/>
    <w:rsid w:val="00572BF3"/>
    <w:rsid w:val="00577309"/>
    <w:rsid w:val="00577763"/>
    <w:rsid w:val="00590B79"/>
    <w:rsid w:val="00593935"/>
    <w:rsid w:val="005973FD"/>
    <w:rsid w:val="00597C68"/>
    <w:rsid w:val="00597D92"/>
    <w:rsid w:val="005A382B"/>
    <w:rsid w:val="005A4047"/>
    <w:rsid w:val="005A7271"/>
    <w:rsid w:val="005B0B48"/>
    <w:rsid w:val="005B0F78"/>
    <w:rsid w:val="005C0D39"/>
    <w:rsid w:val="005C6232"/>
    <w:rsid w:val="005D6F7A"/>
    <w:rsid w:val="005E5B88"/>
    <w:rsid w:val="005E78EE"/>
    <w:rsid w:val="005F139F"/>
    <w:rsid w:val="005F1EBD"/>
    <w:rsid w:val="005F5CCA"/>
    <w:rsid w:val="005F7AE4"/>
    <w:rsid w:val="005F7C2C"/>
    <w:rsid w:val="006063D0"/>
    <w:rsid w:val="00607C55"/>
    <w:rsid w:val="00613C45"/>
    <w:rsid w:val="00623D96"/>
    <w:rsid w:val="00625929"/>
    <w:rsid w:val="00633D4E"/>
    <w:rsid w:val="0063526F"/>
    <w:rsid w:val="00637E86"/>
    <w:rsid w:val="00642285"/>
    <w:rsid w:val="006422DE"/>
    <w:rsid w:val="006439FA"/>
    <w:rsid w:val="00656374"/>
    <w:rsid w:val="00657F6B"/>
    <w:rsid w:val="00662FB3"/>
    <w:rsid w:val="0067485D"/>
    <w:rsid w:val="006840AF"/>
    <w:rsid w:val="00686544"/>
    <w:rsid w:val="0068695B"/>
    <w:rsid w:val="0069130F"/>
    <w:rsid w:val="006A2065"/>
    <w:rsid w:val="006A3D88"/>
    <w:rsid w:val="006A4A7A"/>
    <w:rsid w:val="006B0848"/>
    <w:rsid w:val="006B4DCA"/>
    <w:rsid w:val="006B733D"/>
    <w:rsid w:val="006C34AE"/>
    <w:rsid w:val="006C60B0"/>
    <w:rsid w:val="006C67AF"/>
    <w:rsid w:val="006D3DC5"/>
    <w:rsid w:val="006E125B"/>
    <w:rsid w:val="006F143B"/>
    <w:rsid w:val="006F2511"/>
    <w:rsid w:val="006F5769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2797A"/>
    <w:rsid w:val="0073000A"/>
    <w:rsid w:val="00731303"/>
    <w:rsid w:val="0073172C"/>
    <w:rsid w:val="007402E0"/>
    <w:rsid w:val="0074489D"/>
    <w:rsid w:val="00746549"/>
    <w:rsid w:val="007501BA"/>
    <w:rsid w:val="007514AD"/>
    <w:rsid w:val="00754634"/>
    <w:rsid w:val="0075524D"/>
    <w:rsid w:val="007560B0"/>
    <w:rsid w:val="00756DC4"/>
    <w:rsid w:val="007627D7"/>
    <w:rsid w:val="007627DF"/>
    <w:rsid w:val="007631C4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930C9"/>
    <w:rsid w:val="007A19D8"/>
    <w:rsid w:val="007A4D3C"/>
    <w:rsid w:val="007B5B75"/>
    <w:rsid w:val="007C1E49"/>
    <w:rsid w:val="007C2138"/>
    <w:rsid w:val="007C2DBF"/>
    <w:rsid w:val="007E36E4"/>
    <w:rsid w:val="007E6317"/>
    <w:rsid w:val="007F0ACE"/>
    <w:rsid w:val="007F4C3E"/>
    <w:rsid w:val="007F68F7"/>
    <w:rsid w:val="00800F0E"/>
    <w:rsid w:val="008011B4"/>
    <w:rsid w:val="00804024"/>
    <w:rsid w:val="0081753E"/>
    <w:rsid w:val="00824E82"/>
    <w:rsid w:val="008274C2"/>
    <w:rsid w:val="00830825"/>
    <w:rsid w:val="00832A46"/>
    <w:rsid w:val="00837D33"/>
    <w:rsid w:val="00837EB1"/>
    <w:rsid w:val="0085010E"/>
    <w:rsid w:val="0085454F"/>
    <w:rsid w:val="00854FC6"/>
    <w:rsid w:val="0085750C"/>
    <w:rsid w:val="00862D6A"/>
    <w:rsid w:val="00865EA3"/>
    <w:rsid w:val="0087354F"/>
    <w:rsid w:val="0088135E"/>
    <w:rsid w:val="0088640C"/>
    <w:rsid w:val="0089109C"/>
    <w:rsid w:val="00891A70"/>
    <w:rsid w:val="00896985"/>
    <w:rsid w:val="008A409C"/>
    <w:rsid w:val="008A4E3E"/>
    <w:rsid w:val="008B33B6"/>
    <w:rsid w:val="008B3883"/>
    <w:rsid w:val="008C274D"/>
    <w:rsid w:val="008C28C5"/>
    <w:rsid w:val="008C5215"/>
    <w:rsid w:val="008C53D0"/>
    <w:rsid w:val="008D1006"/>
    <w:rsid w:val="008D109F"/>
    <w:rsid w:val="008D527A"/>
    <w:rsid w:val="008D56DA"/>
    <w:rsid w:val="008D5771"/>
    <w:rsid w:val="008E00BA"/>
    <w:rsid w:val="008E1E3D"/>
    <w:rsid w:val="008E67B2"/>
    <w:rsid w:val="008F04FF"/>
    <w:rsid w:val="008F472E"/>
    <w:rsid w:val="008F4BD9"/>
    <w:rsid w:val="008F69B5"/>
    <w:rsid w:val="008F6F5A"/>
    <w:rsid w:val="00902556"/>
    <w:rsid w:val="0090338C"/>
    <w:rsid w:val="009043D6"/>
    <w:rsid w:val="0091048E"/>
    <w:rsid w:val="00910F4C"/>
    <w:rsid w:val="009144DF"/>
    <w:rsid w:val="00915785"/>
    <w:rsid w:val="00924ABC"/>
    <w:rsid w:val="0092519D"/>
    <w:rsid w:val="00940E8F"/>
    <w:rsid w:val="00942392"/>
    <w:rsid w:val="00943688"/>
    <w:rsid w:val="0095309C"/>
    <w:rsid w:val="009652F2"/>
    <w:rsid w:val="009719ED"/>
    <w:rsid w:val="00972048"/>
    <w:rsid w:val="00976249"/>
    <w:rsid w:val="00986C37"/>
    <w:rsid w:val="00997528"/>
    <w:rsid w:val="0099796A"/>
    <w:rsid w:val="009A5F9B"/>
    <w:rsid w:val="009A7C52"/>
    <w:rsid w:val="009B33BB"/>
    <w:rsid w:val="009B3709"/>
    <w:rsid w:val="009C1346"/>
    <w:rsid w:val="009C3008"/>
    <w:rsid w:val="009D05C8"/>
    <w:rsid w:val="009D380E"/>
    <w:rsid w:val="009D49D9"/>
    <w:rsid w:val="009E3C0B"/>
    <w:rsid w:val="009E558C"/>
    <w:rsid w:val="009E5FCA"/>
    <w:rsid w:val="009F01B4"/>
    <w:rsid w:val="009F5610"/>
    <w:rsid w:val="00A03E76"/>
    <w:rsid w:val="00A1135B"/>
    <w:rsid w:val="00A13244"/>
    <w:rsid w:val="00A17783"/>
    <w:rsid w:val="00A20201"/>
    <w:rsid w:val="00A239AA"/>
    <w:rsid w:val="00A315EC"/>
    <w:rsid w:val="00A3473D"/>
    <w:rsid w:val="00A37314"/>
    <w:rsid w:val="00A41956"/>
    <w:rsid w:val="00A439E8"/>
    <w:rsid w:val="00A45753"/>
    <w:rsid w:val="00A51CE5"/>
    <w:rsid w:val="00A52541"/>
    <w:rsid w:val="00A53423"/>
    <w:rsid w:val="00A57037"/>
    <w:rsid w:val="00A62659"/>
    <w:rsid w:val="00A65F20"/>
    <w:rsid w:val="00A6660A"/>
    <w:rsid w:val="00A71EDC"/>
    <w:rsid w:val="00A76293"/>
    <w:rsid w:val="00A77DA2"/>
    <w:rsid w:val="00A85D9D"/>
    <w:rsid w:val="00A92C4C"/>
    <w:rsid w:val="00A92F82"/>
    <w:rsid w:val="00A951D9"/>
    <w:rsid w:val="00A97E0C"/>
    <w:rsid w:val="00AA3D14"/>
    <w:rsid w:val="00AA602D"/>
    <w:rsid w:val="00AA66D2"/>
    <w:rsid w:val="00AB572D"/>
    <w:rsid w:val="00AD616E"/>
    <w:rsid w:val="00AE0C93"/>
    <w:rsid w:val="00AE17B1"/>
    <w:rsid w:val="00AE1F5C"/>
    <w:rsid w:val="00AE2923"/>
    <w:rsid w:val="00AE4C0D"/>
    <w:rsid w:val="00AE5F8F"/>
    <w:rsid w:val="00AE7F9D"/>
    <w:rsid w:val="00AF1794"/>
    <w:rsid w:val="00AF2D96"/>
    <w:rsid w:val="00AF5631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479FD"/>
    <w:rsid w:val="00B51024"/>
    <w:rsid w:val="00B512B5"/>
    <w:rsid w:val="00B55068"/>
    <w:rsid w:val="00B60CD8"/>
    <w:rsid w:val="00B60F9C"/>
    <w:rsid w:val="00B63D9D"/>
    <w:rsid w:val="00B6769E"/>
    <w:rsid w:val="00B70EBD"/>
    <w:rsid w:val="00B73F22"/>
    <w:rsid w:val="00B76921"/>
    <w:rsid w:val="00B76E1F"/>
    <w:rsid w:val="00B76F9A"/>
    <w:rsid w:val="00B774D3"/>
    <w:rsid w:val="00B810B2"/>
    <w:rsid w:val="00B81C58"/>
    <w:rsid w:val="00B9278C"/>
    <w:rsid w:val="00B94B4F"/>
    <w:rsid w:val="00B9755F"/>
    <w:rsid w:val="00BA26F7"/>
    <w:rsid w:val="00BA79F0"/>
    <w:rsid w:val="00BB5068"/>
    <w:rsid w:val="00BB5A9D"/>
    <w:rsid w:val="00BB7AE8"/>
    <w:rsid w:val="00BC373E"/>
    <w:rsid w:val="00BC6897"/>
    <w:rsid w:val="00BC7A2B"/>
    <w:rsid w:val="00BC7D21"/>
    <w:rsid w:val="00BD0481"/>
    <w:rsid w:val="00BD4447"/>
    <w:rsid w:val="00BD4539"/>
    <w:rsid w:val="00BE2623"/>
    <w:rsid w:val="00BE3923"/>
    <w:rsid w:val="00BE4BF0"/>
    <w:rsid w:val="00BE5EE5"/>
    <w:rsid w:val="00BE68EE"/>
    <w:rsid w:val="00BE6CF4"/>
    <w:rsid w:val="00BE7F63"/>
    <w:rsid w:val="00BF45FB"/>
    <w:rsid w:val="00BF762D"/>
    <w:rsid w:val="00C01C33"/>
    <w:rsid w:val="00C0216C"/>
    <w:rsid w:val="00C10607"/>
    <w:rsid w:val="00C123B1"/>
    <w:rsid w:val="00C20E8A"/>
    <w:rsid w:val="00C21071"/>
    <w:rsid w:val="00C2398C"/>
    <w:rsid w:val="00C2549C"/>
    <w:rsid w:val="00C25569"/>
    <w:rsid w:val="00C27366"/>
    <w:rsid w:val="00C367AF"/>
    <w:rsid w:val="00C459F5"/>
    <w:rsid w:val="00C45F90"/>
    <w:rsid w:val="00C47DF8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A6B5F"/>
    <w:rsid w:val="00CB09FD"/>
    <w:rsid w:val="00CB1298"/>
    <w:rsid w:val="00CB1AE6"/>
    <w:rsid w:val="00CB3ED4"/>
    <w:rsid w:val="00CB3F86"/>
    <w:rsid w:val="00CB4EC8"/>
    <w:rsid w:val="00CC2E36"/>
    <w:rsid w:val="00CC33D1"/>
    <w:rsid w:val="00CC4AC9"/>
    <w:rsid w:val="00CD04AA"/>
    <w:rsid w:val="00CD34F0"/>
    <w:rsid w:val="00CD3EB9"/>
    <w:rsid w:val="00CE0954"/>
    <w:rsid w:val="00CE56C1"/>
    <w:rsid w:val="00CF08B6"/>
    <w:rsid w:val="00CF11F7"/>
    <w:rsid w:val="00CF2175"/>
    <w:rsid w:val="00CF23AE"/>
    <w:rsid w:val="00D02D54"/>
    <w:rsid w:val="00D05E94"/>
    <w:rsid w:val="00D1323F"/>
    <w:rsid w:val="00D202BA"/>
    <w:rsid w:val="00D22DB3"/>
    <w:rsid w:val="00D251AC"/>
    <w:rsid w:val="00D32050"/>
    <w:rsid w:val="00D37896"/>
    <w:rsid w:val="00D43766"/>
    <w:rsid w:val="00D47825"/>
    <w:rsid w:val="00D47CCF"/>
    <w:rsid w:val="00D572FE"/>
    <w:rsid w:val="00D632FC"/>
    <w:rsid w:val="00D6457B"/>
    <w:rsid w:val="00D66DEC"/>
    <w:rsid w:val="00D679F9"/>
    <w:rsid w:val="00D71A41"/>
    <w:rsid w:val="00D72049"/>
    <w:rsid w:val="00D733A2"/>
    <w:rsid w:val="00D74FB6"/>
    <w:rsid w:val="00D7606C"/>
    <w:rsid w:val="00D768A4"/>
    <w:rsid w:val="00D92F52"/>
    <w:rsid w:val="00D979CA"/>
    <w:rsid w:val="00DA00BE"/>
    <w:rsid w:val="00DA611A"/>
    <w:rsid w:val="00DA753F"/>
    <w:rsid w:val="00DB3985"/>
    <w:rsid w:val="00DB3AC1"/>
    <w:rsid w:val="00DC182C"/>
    <w:rsid w:val="00DC4795"/>
    <w:rsid w:val="00DC50FB"/>
    <w:rsid w:val="00DC5754"/>
    <w:rsid w:val="00DD2D4B"/>
    <w:rsid w:val="00DD34A3"/>
    <w:rsid w:val="00DD42B9"/>
    <w:rsid w:val="00DD6056"/>
    <w:rsid w:val="00DE0F4E"/>
    <w:rsid w:val="00DE6D60"/>
    <w:rsid w:val="00DE7C6A"/>
    <w:rsid w:val="00DF2857"/>
    <w:rsid w:val="00DF7205"/>
    <w:rsid w:val="00DF782B"/>
    <w:rsid w:val="00E02B7B"/>
    <w:rsid w:val="00E03AEF"/>
    <w:rsid w:val="00E0463F"/>
    <w:rsid w:val="00E06504"/>
    <w:rsid w:val="00E102DE"/>
    <w:rsid w:val="00E1604D"/>
    <w:rsid w:val="00E2178C"/>
    <w:rsid w:val="00E24825"/>
    <w:rsid w:val="00E2554E"/>
    <w:rsid w:val="00E37D9A"/>
    <w:rsid w:val="00E4105C"/>
    <w:rsid w:val="00E42093"/>
    <w:rsid w:val="00E522AD"/>
    <w:rsid w:val="00E64103"/>
    <w:rsid w:val="00E720F0"/>
    <w:rsid w:val="00E72945"/>
    <w:rsid w:val="00E7448B"/>
    <w:rsid w:val="00E76CD1"/>
    <w:rsid w:val="00E85118"/>
    <w:rsid w:val="00EA2607"/>
    <w:rsid w:val="00EA7F69"/>
    <w:rsid w:val="00EB02A0"/>
    <w:rsid w:val="00EC13D8"/>
    <w:rsid w:val="00EC1C8D"/>
    <w:rsid w:val="00EC2BDF"/>
    <w:rsid w:val="00EC52E5"/>
    <w:rsid w:val="00ED1EEB"/>
    <w:rsid w:val="00EE4AD8"/>
    <w:rsid w:val="00EE5F9F"/>
    <w:rsid w:val="00EF3CCE"/>
    <w:rsid w:val="00EF4ED5"/>
    <w:rsid w:val="00EF554F"/>
    <w:rsid w:val="00F054A3"/>
    <w:rsid w:val="00F065BB"/>
    <w:rsid w:val="00F10666"/>
    <w:rsid w:val="00F139AC"/>
    <w:rsid w:val="00F14F2B"/>
    <w:rsid w:val="00F21EAC"/>
    <w:rsid w:val="00F3243D"/>
    <w:rsid w:val="00F33724"/>
    <w:rsid w:val="00F40C3E"/>
    <w:rsid w:val="00F46D0D"/>
    <w:rsid w:val="00F92B59"/>
    <w:rsid w:val="00F948BC"/>
    <w:rsid w:val="00F94E17"/>
    <w:rsid w:val="00F960CF"/>
    <w:rsid w:val="00FA10A3"/>
    <w:rsid w:val="00FA1226"/>
    <w:rsid w:val="00FA63E9"/>
    <w:rsid w:val="00FB0297"/>
    <w:rsid w:val="00FB36F8"/>
    <w:rsid w:val="00FB4237"/>
    <w:rsid w:val="00FB728B"/>
    <w:rsid w:val="00FC22D2"/>
    <w:rsid w:val="00FD011F"/>
    <w:rsid w:val="00FD09D8"/>
    <w:rsid w:val="00FF06D7"/>
    <w:rsid w:val="00FF2318"/>
    <w:rsid w:val="00FF4F9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6CF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730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cyzje.uokik.gov.pl/bp/dec_prez.nsf/1/644AB6CE72891267C12585C300211B50?editDocument&amp;act=Decyzj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ecyzje.uokik.gov.pl/bp/dec_prez.nsf/1/87A6D337FB499237C125892D0049EDAC?editDocument&amp;act=Decyzj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cyzje.uokik.gov.pl/bp/dec_prez.nsf/1/1C8D01DE1320CF6AC1258950004DB4D2?editDocument&amp;act=Decyzj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download.php?plik=27597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7596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C7A1-277D-458F-9E8E-2E3D4CEF40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B6001A-FEEB-4B66-842C-DDD1E805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5</cp:revision>
  <cp:lastPrinted>2024-01-18T12:00:00Z</cp:lastPrinted>
  <dcterms:created xsi:type="dcterms:W3CDTF">2024-01-28T16:33:00Z</dcterms:created>
  <dcterms:modified xsi:type="dcterms:W3CDTF">2024-01-29T06:51:00Z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011c8d39-71e4-4cf8-a92d-01d269f99ee5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