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26AB" w14:textId="77777777" w:rsidR="00D22A1C" w:rsidRPr="000D3CA4" w:rsidRDefault="00D22A1C" w:rsidP="00D22A1C">
      <w:pPr>
        <w:pStyle w:val="Akapitzlist"/>
        <w:spacing w:line="360" w:lineRule="auto"/>
        <w:ind w:left="0"/>
        <w:jc w:val="both"/>
        <w:rPr>
          <w:sz w:val="22"/>
        </w:rPr>
      </w:pPr>
      <w:r w:rsidRPr="000D3CA4">
        <w:rPr>
          <w:sz w:val="32"/>
          <w:szCs w:val="32"/>
        </w:rPr>
        <w:t>ZATORY PŁATNICZE – NOWELIZACJA USTAWY I NAJNOWSZE DECYZJE</w:t>
      </w:r>
    </w:p>
    <w:p w14:paraId="2FB357EC" w14:textId="085CF76C" w:rsidR="00D22A1C" w:rsidRPr="00D22A1C" w:rsidRDefault="00D22A1C" w:rsidP="00D22A1C">
      <w:pPr>
        <w:pStyle w:val="Akapitzlist"/>
        <w:numPr>
          <w:ilvl w:val="0"/>
          <w:numId w:val="17"/>
        </w:numPr>
        <w:spacing w:after="240" w:line="360" w:lineRule="auto"/>
        <w:jc w:val="both"/>
        <w:rPr>
          <w:b/>
          <w:sz w:val="22"/>
        </w:rPr>
      </w:pPr>
      <w:r w:rsidRPr="00D22A1C">
        <w:rPr>
          <w:b/>
          <w:sz w:val="22"/>
        </w:rPr>
        <w:t xml:space="preserve">8 grudnia 2022 r. </w:t>
      </w:r>
      <w:r w:rsidR="009B460C">
        <w:rPr>
          <w:b/>
          <w:sz w:val="22"/>
        </w:rPr>
        <w:t>wchodzi</w:t>
      </w:r>
      <w:r w:rsidRPr="00D22A1C">
        <w:rPr>
          <w:b/>
          <w:sz w:val="22"/>
        </w:rPr>
        <w:t xml:space="preserve"> w życie nowelizacja </w:t>
      </w:r>
      <w:r w:rsidRPr="00D22A1C">
        <w:rPr>
          <w:rFonts w:cs="Segoe UI"/>
          <w:b/>
          <w:sz w:val="22"/>
        </w:rPr>
        <w:t>ustawy o przeciwdziałaniu nadmiernym opóźnieniom w transakcjach handlowych.</w:t>
      </w:r>
    </w:p>
    <w:p w14:paraId="0E40BE7F" w14:textId="77777777" w:rsidR="00D22A1C" w:rsidRPr="00D22A1C" w:rsidRDefault="00D22A1C" w:rsidP="00D22A1C">
      <w:pPr>
        <w:pStyle w:val="Akapitzlist"/>
        <w:numPr>
          <w:ilvl w:val="0"/>
          <w:numId w:val="17"/>
        </w:numPr>
        <w:spacing w:after="240" w:line="360" w:lineRule="auto"/>
        <w:jc w:val="both"/>
        <w:rPr>
          <w:rFonts w:cstheme="minorBidi"/>
          <w:b/>
          <w:sz w:val="22"/>
        </w:rPr>
      </w:pPr>
      <w:r w:rsidRPr="00D22A1C">
        <w:rPr>
          <w:rFonts w:cs="Segoe UI"/>
          <w:b/>
          <w:sz w:val="22"/>
        </w:rPr>
        <w:t>Obecne regulacje zostały doprecyzowane i uproszczone, co pozwoli na przyspieszenie prowadzonych postępowań, a w konsekwencji na  efektywniejsze i szybsze eliminowanie zatorów.</w:t>
      </w:r>
    </w:p>
    <w:p w14:paraId="64D8C5BB" w14:textId="223BDD67" w:rsidR="00D22A1C" w:rsidRPr="00D22A1C" w:rsidRDefault="00D22A1C" w:rsidP="00D22A1C">
      <w:pPr>
        <w:pStyle w:val="Akapitzlist"/>
        <w:numPr>
          <w:ilvl w:val="0"/>
          <w:numId w:val="17"/>
        </w:numPr>
        <w:spacing w:after="240" w:line="360" w:lineRule="auto"/>
        <w:jc w:val="both"/>
        <w:rPr>
          <w:b/>
          <w:sz w:val="22"/>
        </w:rPr>
      </w:pPr>
      <w:r w:rsidRPr="00D22A1C">
        <w:rPr>
          <w:b/>
          <w:sz w:val="22"/>
        </w:rPr>
        <w:t xml:space="preserve">Ponadto Prezes UOKiK Tomasz </w:t>
      </w:r>
      <w:proofErr w:type="spellStart"/>
      <w:r w:rsidRPr="00D22A1C">
        <w:rPr>
          <w:b/>
          <w:sz w:val="22"/>
        </w:rPr>
        <w:t>Chróstny</w:t>
      </w:r>
      <w:proofErr w:type="spellEnd"/>
      <w:r w:rsidRPr="00D22A1C">
        <w:rPr>
          <w:b/>
          <w:sz w:val="22"/>
        </w:rPr>
        <w:t xml:space="preserve"> wydał </w:t>
      </w:r>
      <w:r w:rsidR="009B460C">
        <w:rPr>
          <w:b/>
          <w:sz w:val="22"/>
        </w:rPr>
        <w:t xml:space="preserve">pięć </w:t>
      </w:r>
      <w:r w:rsidRPr="00D22A1C">
        <w:rPr>
          <w:b/>
          <w:sz w:val="22"/>
        </w:rPr>
        <w:t xml:space="preserve">decyzji w sprawach zatorów płatniczych. Nałożył kary finansowe na </w:t>
      </w:r>
      <w:r w:rsidR="009B460C">
        <w:rPr>
          <w:b/>
          <w:sz w:val="22"/>
        </w:rPr>
        <w:t>dwie spółki</w:t>
      </w:r>
      <w:r w:rsidRPr="00D22A1C">
        <w:rPr>
          <w:b/>
          <w:sz w:val="22"/>
        </w:rPr>
        <w:t xml:space="preserve"> w łącznej wysokości ponad</w:t>
      </w:r>
      <w:r w:rsidR="009B460C">
        <w:rPr>
          <w:b/>
          <w:sz w:val="22"/>
        </w:rPr>
        <w:t xml:space="preserve"> 400 tys. zł.</w:t>
      </w:r>
      <w:r w:rsidRPr="00D22A1C">
        <w:rPr>
          <w:b/>
          <w:sz w:val="22"/>
        </w:rPr>
        <w:t xml:space="preserve"> </w:t>
      </w:r>
    </w:p>
    <w:p w14:paraId="6B268E97" w14:textId="235E71AF" w:rsidR="00D22A1C" w:rsidRPr="00D22A1C" w:rsidRDefault="00D22A1C" w:rsidP="00D22A1C">
      <w:pPr>
        <w:spacing w:after="240" w:line="360" w:lineRule="auto"/>
        <w:jc w:val="both"/>
        <w:rPr>
          <w:sz w:val="22"/>
        </w:rPr>
      </w:pPr>
      <w:r w:rsidRPr="00D22A1C">
        <w:rPr>
          <w:b/>
          <w:sz w:val="22"/>
        </w:rPr>
        <w:t>[Warszawa, 8 grudnia 2022 r.]</w:t>
      </w:r>
      <w:r w:rsidRPr="00D22A1C">
        <w:rPr>
          <w:sz w:val="22"/>
        </w:rPr>
        <w:t xml:space="preserve"> 14 listopada 2022 r. Prezydent podpisał ustawę o zmianie ustawy o przeciwdziałaniu nadmiernym opóźnieniom w transakcjach handlowych oraz ustawy o finansach publicznych. Nowe przepisy w</w:t>
      </w:r>
      <w:r w:rsidR="009B460C">
        <w:rPr>
          <w:sz w:val="22"/>
        </w:rPr>
        <w:t xml:space="preserve">chodzą </w:t>
      </w:r>
      <w:r w:rsidRPr="00D22A1C">
        <w:rPr>
          <w:sz w:val="22"/>
        </w:rPr>
        <w:t>w życie 8 grudnia 2022 r.</w:t>
      </w:r>
    </w:p>
    <w:p w14:paraId="41393A21" w14:textId="77777777" w:rsidR="00D22A1C" w:rsidRPr="00D22A1C" w:rsidRDefault="00D22A1C" w:rsidP="00D22A1C">
      <w:pPr>
        <w:spacing w:after="240" w:line="360" w:lineRule="auto"/>
        <w:jc w:val="both"/>
        <w:rPr>
          <w:sz w:val="22"/>
        </w:rPr>
      </w:pPr>
      <w:r w:rsidRPr="00D22A1C">
        <w:rPr>
          <w:rFonts w:cs="Segoe UI"/>
          <w:i/>
          <w:sz w:val="22"/>
        </w:rPr>
        <w:t>- Nowelizacja przepisów dotyczących walki z zatorami płatniczymi przyspieszy i usprawni prowadzenie postępowań. Pozwoli to na efektywniejsze i szybsze reagowanie na niepożądane na rynku zjawisko opóźniania się ze spełnianiem świadczeń pieniężnych</w:t>
      </w:r>
      <w:r w:rsidRPr="00D22A1C">
        <w:rPr>
          <w:rFonts w:cs="Segoe UI"/>
          <w:sz w:val="22"/>
        </w:rPr>
        <w:t xml:space="preserve"> – mówi Prezes UOKiK Tomasz </w:t>
      </w:r>
      <w:proofErr w:type="spellStart"/>
      <w:r w:rsidRPr="00D22A1C">
        <w:rPr>
          <w:rFonts w:cs="Segoe UI"/>
          <w:sz w:val="22"/>
        </w:rPr>
        <w:t>Chróstny</w:t>
      </w:r>
      <w:proofErr w:type="spellEnd"/>
      <w:r w:rsidRPr="00D22A1C">
        <w:rPr>
          <w:rFonts w:cs="Segoe UI"/>
          <w:sz w:val="22"/>
        </w:rPr>
        <w:t>.</w:t>
      </w:r>
    </w:p>
    <w:p w14:paraId="4B77E6D1" w14:textId="77777777" w:rsidR="00D22A1C" w:rsidRPr="00D22A1C" w:rsidRDefault="00D22A1C" w:rsidP="00D22A1C">
      <w:pPr>
        <w:spacing w:after="240" w:line="360" w:lineRule="auto"/>
        <w:jc w:val="both"/>
        <w:rPr>
          <w:sz w:val="22"/>
        </w:rPr>
      </w:pPr>
      <w:r w:rsidRPr="00D22A1C">
        <w:rPr>
          <w:sz w:val="22"/>
        </w:rPr>
        <w:t xml:space="preserve">Prezes Urzędu uzyskał kompetencje do kierowania do przedsiębiorców tzw. miękkich wezwań, bez konieczności wszczynania postępowania administracyjnego.  Po otrzymaniu takiego wezwania przedsiębiorca będzie mógł udzielić wyjaśnień dotyczących zdiagnozowanego ryzyka występowania zatorów płatniczych. Będzie miał również możliwość poprawy kultury płatniczej w stosunku do swoich kontrahentów. </w:t>
      </w:r>
    </w:p>
    <w:p w14:paraId="7FBDAE5E" w14:textId="77777777" w:rsidR="009B460C" w:rsidRDefault="009B460C" w:rsidP="009B460C">
      <w:pPr>
        <w:spacing w:line="360" w:lineRule="auto"/>
        <w:jc w:val="both"/>
        <w:rPr>
          <w:color w:val="000000" w:themeColor="text1"/>
          <w:sz w:val="22"/>
        </w:rPr>
      </w:pPr>
      <w:r w:rsidRPr="009B460C">
        <w:rPr>
          <w:color w:val="000000" w:themeColor="text1"/>
          <w:sz w:val="22"/>
        </w:rPr>
        <w:t>Ustawodawca zdecydował się również na zmianę wzoru, na podstawie którego wyliczane będą administracyjne kary pieniężne. Jednocześnie nowelizacja wprowadza instytucję tak zwanego „miarkowania kary” polegającego na uwzględnianiu, przy wyliczaniu administracyjnych kar pieniężnych, okoliczności zarówno łagodzących (skutkujących obniżeniem kary), oraz obciążających (w oparciu o które kara będzie obostrzana).</w:t>
      </w:r>
    </w:p>
    <w:p w14:paraId="7CEF9BB0" w14:textId="77777777" w:rsidR="00CA5577" w:rsidRDefault="00CA5577" w:rsidP="00D22A1C">
      <w:pPr>
        <w:spacing w:after="240" w:line="360" w:lineRule="auto"/>
        <w:jc w:val="both"/>
        <w:rPr>
          <w:color w:val="000000" w:themeColor="text1"/>
          <w:sz w:val="22"/>
        </w:rPr>
      </w:pPr>
    </w:p>
    <w:p w14:paraId="6BE4DF34" w14:textId="0F34B776" w:rsidR="00D22A1C" w:rsidRPr="00D22A1C" w:rsidRDefault="00CA5577" w:rsidP="00D22A1C">
      <w:pPr>
        <w:spacing w:after="240" w:line="360" w:lineRule="auto"/>
        <w:jc w:val="both"/>
        <w:rPr>
          <w:b/>
          <w:sz w:val="22"/>
        </w:rPr>
      </w:pPr>
      <w:r>
        <w:rPr>
          <w:color w:val="000000" w:themeColor="text1"/>
          <w:sz w:val="22"/>
        </w:rPr>
        <w:lastRenderedPageBreak/>
        <w:t>D</w:t>
      </w:r>
      <w:r w:rsidR="00D22A1C" w:rsidRPr="00D22A1C">
        <w:rPr>
          <w:b/>
          <w:sz w:val="22"/>
        </w:rPr>
        <w:t>ecyzje nakładające karę za nadmierne opóźnianie się ze spełnianiem świadczeń pieniężnych</w:t>
      </w:r>
    </w:p>
    <w:p w14:paraId="4653C913" w14:textId="746EDB8B" w:rsidR="00D22A1C" w:rsidRPr="00D22A1C" w:rsidRDefault="00D22A1C" w:rsidP="00D22A1C">
      <w:pPr>
        <w:spacing w:after="240" w:line="360" w:lineRule="auto"/>
        <w:jc w:val="both"/>
        <w:rPr>
          <w:b/>
          <w:sz w:val="22"/>
        </w:rPr>
      </w:pPr>
      <w:r w:rsidRPr="00D22A1C">
        <w:rPr>
          <w:sz w:val="22"/>
        </w:rPr>
        <w:t xml:space="preserve">Prezes UOKiK wydał </w:t>
      </w:r>
      <w:r w:rsidR="00772887">
        <w:rPr>
          <w:sz w:val="22"/>
        </w:rPr>
        <w:t>pięć</w:t>
      </w:r>
      <w:r w:rsidRPr="00D22A1C">
        <w:rPr>
          <w:sz w:val="22"/>
        </w:rPr>
        <w:t xml:space="preserve"> decyzji, w których stwierdził nadmierne opóźnianie się ze spełnianiem świadczeń pieniężnych przez przedsiębiorców. Nałożył</w:t>
      </w:r>
      <w:r w:rsidR="00772887">
        <w:rPr>
          <w:sz w:val="22"/>
        </w:rPr>
        <w:t xml:space="preserve"> dwie</w:t>
      </w:r>
      <w:bookmarkStart w:id="0" w:name="_GoBack"/>
      <w:bookmarkEnd w:id="0"/>
      <w:r w:rsidRPr="00D22A1C">
        <w:rPr>
          <w:sz w:val="22"/>
        </w:rPr>
        <w:t xml:space="preserve"> kary finansowe, a w przypadku</w:t>
      </w:r>
      <w:r w:rsidR="00772887">
        <w:rPr>
          <w:sz w:val="22"/>
        </w:rPr>
        <w:t xml:space="preserve"> trzech</w:t>
      </w:r>
      <w:r w:rsidRPr="00D22A1C">
        <w:rPr>
          <w:sz w:val="22"/>
        </w:rPr>
        <w:t xml:space="preserve"> podmiotów stwierdził wystąpienie przesłanek obligujących do odstąpienia od wymierzenia sankcji pieniężnej.</w:t>
      </w:r>
    </w:p>
    <w:p w14:paraId="1755A90F" w14:textId="307476AD" w:rsidR="00D22A1C" w:rsidRPr="00D22A1C" w:rsidRDefault="00D22A1C" w:rsidP="00D22A1C">
      <w:pPr>
        <w:pStyle w:val="Akapitzlist"/>
        <w:spacing w:after="240" w:line="360" w:lineRule="auto"/>
        <w:ind w:left="0"/>
        <w:jc w:val="both"/>
        <w:rPr>
          <w:sz w:val="22"/>
        </w:rPr>
      </w:pPr>
      <w:r w:rsidRPr="00D22A1C">
        <w:rPr>
          <w:rFonts w:cs="Segoe UI"/>
          <w:sz w:val="22"/>
        </w:rPr>
        <w:t>Pierwsza kara dotyczy</w:t>
      </w:r>
      <w:r w:rsidRPr="00D22A1C">
        <w:rPr>
          <w:sz w:val="22"/>
        </w:rPr>
        <w:t xml:space="preserve"> spółki </w:t>
      </w:r>
      <w:proofErr w:type="spellStart"/>
      <w:r w:rsidRPr="00D22A1C">
        <w:rPr>
          <w:sz w:val="22"/>
        </w:rPr>
        <w:t>Trumpf</w:t>
      </w:r>
      <w:proofErr w:type="spellEnd"/>
      <w:r w:rsidRPr="00D22A1C">
        <w:rPr>
          <w:sz w:val="22"/>
        </w:rPr>
        <w:t xml:space="preserve"> </w:t>
      </w:r>
      <w:proofErr w:type="spellStart"/>
      <w:r w:rsidRPr="00D22A1C">
        <w:rPr>
          <w:sz w:val="22"/>
        </w:rPr>
        <w:t>Huettinger</w:t>
      </w:r>
      <w:proofErr w:type="spellEnd"/>
      <w:r w:rsidRPr="00D22A1C">
        <w:rPr>
          <w:sz w:val="22"/>
        </w:rPr>
        <w:t xml:space="preserve"> i </w:t>
      </w:r>
      <w:r w:rsidR="00903B70" w:rsidRPr="00D22A1C">
        <w:rPr>
          <w:sz w:val="22"/>
        </w:rPr>
        <w:t>wyn</w:t>
      </w:r>
      <w:r w:rsidR="00903B70">
        <w:rPr>
          <w:sz w:val="22"/>
        </w:rPr>
        <w:t>osi</w:t>
      </w:r>
      <w:r w:rsidR="00903B70" w:rsidRPr="00D22A1C">
        <w:rPr>
          <w:sz w:val="22"/>
        </w:rPr>
        <w:t xml:space="preserve"> </w:t>
      </w:r>
      <w:r w:rsidRPr="00D22A1C">
        <w:rPr>
          <w:sz w:val="22"/>
        </w:rPr>
        <w:t xml:space="preserve">ponad 275 tys. zł. Przedsiębiorca zajmuje się produkcją aparatury rozdzielczej i sterowniczej energii elektrycznej. W toku postępowania ustalono, że od lutego do kwietnia 2020 r. spółka opóźniła się w spełnianiu 6561 świadczeń pieniężnych wobec 531 kontrahentów, a najdłuższe z ustalonych opóźnień wyniosło 113 dni. Największa suma opóźnień w stosunku do jednego z kontrahentów wyniosła ponad 4,3 mln zł. </w:t>
      </w:r>
    </w:p>
    <w:p w14:paraId="1592DA92" w14:textId="77777777" w:rsidR="00D22A1C" w:rsidRPr="00D22A1C" w:rsidRDefault="00D22A1C" w:rsidP="00D22A1C">
      <w:pPr>
        <w:pStyle w:val="Akapitzlist"/>
        <w:spacing w:after="240" w:line="360" w:lineRule="auto"/>
        <w:ind w:left="0"/>
        <w:jc w:val="both"/>
        <w:rPr>
          <w:sz w:val="22"/>
        </w:rPr>
      </w:pPr>
    </w:p>
    <w:p w14:paraId="1D7F5E3E" w14:textId="2B88A740" w:rsidR="00D22A1C" w:rsidRPr="00D22A1C" w:rsidRDefault="009B460C" w:rsidP="00D22A1C">
      <w:pPr>
        <w:pStyle w:val="Akapitzlist"/>
        <w:spacing w:after="240" w:line="360" w:lineRule="auto"/>
        <w:ind w:left="0"/>
        <w:jc w:val="both"/>
        <w:rPr>
          <w:sz w:val="22"/>
        </w:rPr>
      </w:pPr>
      <w:r>
        <w:rPr>
          <w:sz w:val="22"/>
        </w:rPr>
        <w:t>Druga</w:t>
      </w:r>
      <w:r w:rsidR="00D22A1C" w:rsidRPr="00D22A1C">
        <w:rPr>
          <w:sz w:val="22"/>
        </w:rPr>
        <w:t xml:space="preserve"> z kar (ponad 127 tys. zł) została nałożona spółkę Ciech Soda Polska. Jest to podmiot prowadzący działalność w obszarze produkcji chemikaliów nieorganicznych. W okresie lipiec - wrzesień 2020 r. spółka nie spełniła w terminie świadczeń pieniężnych na rzecz 137 kontrahentów, a najdłuższe opóźnienie wyniosło 248 dni. W analizowanym czasie największa suma opóźnień na rzecz jednego podmiotu wyniosła ponad 2,5 mln zł.</w:t>
      </w:r>
    </w:p>
    <w:p w14:paraId="4AA65E3B" w14:textId="77777777" w:rsidR="009B460C" w:rsidRDefault="009B460C" w:rsidP="00D22A1C">
      <w:pPr>
        <w:pStyle w:val="Akapitzlist"/>
        <w:spacing w:after="240" w:line="360" w:lineRule="auto"/>
        <w:ind w:left="0"/>
        <w:jc w:val="both"/>
        <w:rPr>
          <w:b/>
          <w:sz w:val="22"/>
        </w:rPr>
      </w:pPr>
    </w:p>
    <w:p w14:paraId="3A4F3B87" w14:textId="4818C38C" w:rsidR="00D22A1C" w:rsidRDefault="00D22A1C" w:rsidP="00D22A1C">
      <w:pPr>
        <w:pStyle w:val="Akapitzlist"/>
        <w:spacing w:after="240" w:line="360" w:lineRule="auto"/>
        <w:ind w:left="0"/>
        <w:jc w:val="both"/>
        <w:rPr>
          <w:b/>
          <w:sz w:val="22"/>
        </w:rPr>
      </w:pPr>
      <w:r w:rsidRPr="00D22A1C">
        <w:rPr>
          <w:b/>
          <w:sz w:val="22"/>
        </w:rPr>
        <w:t>Trzy odstąpienia od wymierzenia kary</w:t>
      </w:r>
    </w:p>
    <w:p w14:paraId="6B79D639" w14:textId="77777777" w:rsidR="009B460C" w:rsidRPr="00D22A1C" w:rsidRDefault="009B460C" w:rsidP="00D22A1C">
      <w:pPr>
        <w:pStyle w:val="Akapitzlist"/>
        <w:spacing w:after="240" w:line="360" w:lineRule="auto"/>
        <w:ind w:left="0"/>
        <w:jc w:val="both"/>
        <w:rPr>
          <w:b/>
          <w:sz w:val="22"/>
        </w:rPr>
      </w:pPr>
    </w:p>
    <w:p w14:paraId="0CAB7D11" w14:textId="027813F8" w:rsidR="00D22A1C" w:rsidRPr="00D22A1C" w:rsidRDefault="00D22A1C" w:rsidP="00D22A1C">
      <w:pPr>
        <w:pStyle w:val="Akapitzlist"/>
        <w:spacing w:after="240" w:line="360" w:lineRule="auto"/>
        <w:ind w:left="0"/>
        <w:jc w:val="both"/>
        <w:rPr>
          <w:sz w:val="22"/>
        </w:rPr>
      </w:pPr>
      <w:r w:rsidRPr="00D22A1C">
        <w:rPr>
          <w:sz w:val="22"/>
        </w:rPr>
        <w:t>Przepisy dotyczące  zatorów płatniczych przewidują że Prezes UOKiK odstępuje od wymierzenia kary pieniężnej</w:t>
      </w:r>
      <w:r w:rsidRPr="00D22A1C">
        <w:rPr>
          <w:color w:val="000000" w:themeColor="text1"/>
          <w:sz w:val="22"/>
        </w:rPr>
        <w:t>,</w:t>
      </w:r>
      <w:r w:rsidRPr="00D22A1C">
        <w:rPr>
          <w:rFonts w:cs="Tahoma"/>
          <w:color w:val="000000" w:themeColor="text1"/>
          <w:sz w:val="22"/>
          <w:shd w:val="clear" w:color="auto" w:fill="FFFFFF"/>
        </w:rPr>
        <w:t xml:space="preserve"> jeśli w badanym okresie suma świadczeń pieniężnych otrzymanych przez firmy po terminie przewyższa wygenerowany przez nie zator płatniczy</w:t>
      </w:r>
      <w:r w:rsidRPr="00D22A1C">
        <w:rPr>
          <w:color w:val="000000" w:themeColor="text1"/>
          <w:sz w:val="22"/>
        </w:rPr>
        <w:t>. Tego typu sytuacje wystąpiły w stosunku do trzech przedsiębiorców: producenta alkoholi Stock Polska, spółki Kolporter zajmującej się hurtową sprzedażą artykułów użytku domowego oraz Farmacol-Logistyka – podmiotu z branży magazynowania i przechowywania towarów.</w:t>
      </w:r>
    </w:p>
    <w:p w14:paraId="54759D80" w14:textId="77777777" w:rsidR="00D22A1C" w:rsidRDefault="00D22A1C" w:rsidP="00D22A1C">
      <w:pPr>
        <w:spacing w:after="240" w:line="360" w:lineRule="auto"/>
        <w:jc w:val="both"/>
        <w:rPr>
          <w:sz w:val="22"/>
        </w:rPr>
      </w:pPr>
      <w:r w:rsidRPr="00D22A1C">
        <w:rPr>
          <w:b/>
          <w:bCs/>
          <w:sz w:val="22"/>
        </w:rPr>
        <w:t>Wejdź na stronę poświęconą zatorom płatniczym</w:t>
      </w:r>
    </w:p>
    <w:p w14:paraId="05734F46" w14:textId="53A2B9B4" w:rsidR="00D22A1C" w:rsidRPr="00D22A1C" w:rsidRDefault="00D22A1C" w:rsidP="00D22A1C">
      <w:pPr>
        <w:spacing w:after="240" w:line="360" w:lineRule="auto"/>
        <w:jc w:val="both"/>
        <w:rPr>
          <w:sz w:val="22"/>
        </w:rPr>
      </w:pPr>
      <w:r w:rsidRPr="00D22A1C">
        <w:rPr>
          <w:sz w:val="22"/>
        </w:rPr>
        <w:lastRenderedPageBreak/>
        <w:t xml:space="preserve">Przykłady obliczania kar dla konkretnych kwot długów, a także najważniejsze informacje </w:t>
      </w:r>
      <w:r w:rsidRPr="00D22A1C">
        <w:rPr>
          <w:sz w:val="22"/>
        </w:rPr>
        <w:br/>
        <w:t>o kompetencjach Prezesa UOKiK w obszarze zatorów płatniczych, można znaleźć na specjalnej stronie internetowej. Czym są zatory, kiedy może zająć się nimi Prezes Urzędu, jak można zgłosić, że przedsiębiorca nie płaci i kto może to zrobić? Te i wiele innych pytań oraz odpowiedzi znajdziesz na </w:t>
      </w:r>
      <w:hyperlink r:id="rId9" w:history="1">
        <w:r w:rsidRPr="00D22A1C">
          <w:rPr>
            <w:rStyle w:val="Hipercze"/>
            <w:sz w:val="22"/>
          </w:rPr>
          <w:t>zatoryplatnicze.uokik.gov.pl</w:t>
        </w:r>
      </w:hyperlink>
      <w:r w:rsidRPr="00D22A1C">
        <w:rPr>
          <w:sz w:val="22"/>
        </w:rPr>
        <w:t>.</w:t>
      </w:r>
    </w:p>
    <w:sectPr w:rsidR="00D22A1C" w:rsidRPr="00D22A1C"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D3F9F" w16cid:durableId="27349C9B"/>
  <w16cid:commentId w16cid:paraId="158612F1" w16cid:durableId="27349F74"/>
  <w16cid:commentId w16cid:paraId="6F010BD7" w16cid:durableId="27349B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8B38" w14:textId="77777777" w:rsidR="00717950" w:rsidRDefault="00717950">
      <w:r>
        <w:separator/>
      </w:r>
    </w:p>
  </w:endnote>
  <w:endnote w:type="continuationSeparator" w:id="0">
    <w:p w14:paraId="281C6BC5" w14:textId="77777777" w:rsidR="00717950" w:rsidRDefault="0071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D7FE"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en-GB" w:eastAsia="en-GB"/>
      </w:rPr>
      <mc:AlternateContent>
        <mc:Choice Requires="wps">
          <w:drawing>
            <wp:anchor distT="0" distB="0" distL="114300" distR="114300" simplePos="0" relativeHeight="251657216" behindDoc="0" locked="0" layoutInCell="1" allowOverlap="1" wp14:anchorId="075CA67B" wp14:editId="086B63E0">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388CEBCA"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proofErr w:type="spellStart"/>
      <w:r w:rsidR="00C21071" w:rsidRPr="00B512B5">
        <w:rPr>
          <w:rStyle w:val="u-linkcomplex-target"/>
          <w:rFonts w:asciiTheme="minorHAnsi" w:hAnsiTheme="minorHAnsi" w:cstheme="minorHAnsi"/>
          <w:color w:val="595959" w:themeColor="text1" w:themeTint="A6"/>
          <w:sz w:val="16"/>
          <w:szCs w:val="16"/>
          <w:u w:val="single"/>
          <w:lang w:val="pl-PL"/>
        </w:rPr>
        <w:t>UOKiKgovPL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375AC" w14:textId="77777777" w:rsidR="00717950" w:rsidRDefault="00717950">
      <w:r>
        <w:separator/>
      </w:r>
    </w:p>
  </w:footnote>
  <w:footnote w:type="continuationSeparator" w:id="0">
    <w:p w14:paraId="62248864" w14:textId="77777777" w:rsidR="00717950" w:rsidRDefault="0071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09AA" w14:textId="77777777" w:rsidR="0059016B" w:rsidRDefault="00C81210" w:rsidP="0041396E">
    <w:pPr>
      <w:pStyle w:val="Nagwek"/>
      <w:tabs>
        <w:tab w:val="clear" w:pos="9072"/>
      </w:tabs>
    </w:pPr>
    <w:r>
      <w:rPr>
        <w:noProof/>
        <w:lang w:val="en-GB" w:eastAsia="en-GB"/>
      </w:rPr>
      <w:drawing>
        <wp:inline distT="0" distB="0" distL="0" distR="0" wp14:anchorId="551218A1" wp14:editId="3247CBA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EAC"/>
    <w:multiLevelType w:val="hybridMultilevel"/>
    <w:tmpl w:val="90627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18568F"/>
    <w:multiLevelType w:val="hybridMultilevel"/>
    <w:tmpl w:val="A768D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EB5738"/>
    <w:multiLevelType w:val="multilevel"/>
    <w:tmpl w:val="9E36F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72F10"/>
    <w:multiLevelType w:val="hybridMultilevel"/>
    <w:tmpl w:val="758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73D1B"/>
    <w:multiLevelType w:val="hybridMultilevel"/>
    <w:tmpl w:val="D3805698"/>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B2629BD"/>
    <w:multiLevelType w:val="hybridMultilevel"/>
    <w:tmpl w:val="ED628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567B7"/>
    <w:multiLevelType w:val="hybridMultilevel"/>
    <w:tmpl w:val="2D7C5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BA080F"/>
    <w:multiLevelType w:val="hybridMultilevel"/>
    <w:tmpl w:val="B540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756607"/>
    <w:multiLevelType w:val="multilevel"/>
    <w:tmpl w:val="B66C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1772E"/>
    <w:multiLevelType w:val="hybridMultilevel"/>
    <w:tmpl w:val="4D88E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5"/>
  </w:num>
  <w:num w:numId="5">
    <w:abstractNumId w:val="5"/>
  </w:num>
  <w:num w:numId="6">
    <w:abstractNumId w:val="10"/>
  </w:num>
  <w:num w:numId="7">
    <w:abstractNumId w:val="11"/>
  </w:num>
  <w:num w:numId="8">
    <w:abstractNumId w:val="6"/>
  </w:num>
  <w:num w:numId="9">
    <w:abstractNumId w:val="1"/>
  </w:num>
  <w:num w:numId="10">
    <w:abstractNumId w:val="8"/>
  </w:num>
  <w:num w:numId="11">
    <w:abstractNumId w:val="16"/>
  </w:num>
  <w:num w:numId="12">
    <w:abstractNumId w:val="13"/>
  </w:num>
  <w:num w:numId="13">
    <w:abstractNumId w:val="0"/>
  </w:num>
  <w:num w:numId="14">
    <w:abstractNumId w:val="14"/>
  </w:num>
  <w:num w:numId="15">
    <w:abstractNumId w:val="2"/>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15A30"/>
    <w:rsid w:val="0002027D"/>
    <w:rsid w:val="0002108F"/>
    <w:rsid w:val="00023634"/>
    <w:rsid w:val="0002523D"/>
    <w:rsid w:val="00042F96"/>
    <w:rsid w:val="000554AD"/>
    <w:rsid w:val="0005795E"/>
    <w:rsid w:val="000651E9"/>
    <w:rsid w:val="00072811"/>
    <w:rsid w:val="00073AA7"/>
    <w:rsid w:val="000750F7"/>
    <w:rsid w:val="0008768C"/>
    <w:rsid w:val="00092D6A"/>
    <w:rsid w:val="00097F1E"/>
    <w:rsid w:val="000A6ACA"/>
    <w:rsid w:val="000A74FA"/>
    <w:rsid w:val="000B149D"/>
    <w:rsid w:val="000B1AC5"/>
    <w:rsid w:val="000B7247"/>
    <w:rsid w:val="000C2801"/>
    <w:rsid w:val="000C6285"/>
    <w:rsid w:val="000D7BBE"/>
    <w:rsid w:val="000E4F39"/>
    <w:rsid w:val="000F7C44"/>
    <w:rsid w:val="0010559C"/>
    <w:rsid w:val="00107844"/>
    <w:rsid w:val="00120FBD"/>
    <w:rsid w:val="0012424D"/>
    <w:rsid w:val="001246D8"/>
    <w:rsid w:val="001254CD"/>
    <w:rsid w:val="0013159A"/>
    <w:rsid w:val="00132230"/>
    <w:rsid w:val="00134A4F"/>
    <w:rsid w:val="00135455"/>
    <w:rsid w:val="001423C1"/>
    <w:rsid w:val="00143310"/>
    <w:rsid w:val="00144E9C"/>
    <w:rsid w:val="00146390"/>
    <w:rsid w:val="00157374"/>
    <w:rsid w:val="00157DCE"/>
    <w:rsid w:val="00161094"/>
    <w:rsid w:val="00163DF9"/>
    <w:rsid w:val="00164F64"/>
    <w:rsid w:val="001666D6"/>
    <w:rsid w:val="00166B5D"/>
    <w:rsid w:val="001675EF"/>
    <w:rsid w:val="0017028A"/>
    <w:rsid w:val="00170BDD"/>
    <w:rsid w:val="00172F7D"/>
    <w:rsid w:val="00180816"/>
    <w:rsid w:val="001812B5"/>
    <w:rsid w:val="0018348A"/>
    <w:rsid w:val="0018697A"/>
    <w:rsid w:val="00187409"/>
    <w:rsid w:val="00190D5A"/>
    <w:rsid w:val="001979B5"/>
    <w:rsid w:val="001A20C0"/>
    <w:rsid w:val="001A349A"/>
    <w:rsid w:val="001A4EA3"/>
    <w:rsid w:val="001A5F7C"/>
    <w:rsid w:val="001A6E5B"/>
    <w:rsid w:val="001A7451"/>
    <w:rsid w:val="001C1FAD"/>
    <w:rsid w:val="001D291F"/>
    <w:rsid w:val="001D32AE"/>
    <w:rsid w:val="001E188E"/>
    <w:rsid w:val="001E35D3"/>
    <w:rsid w:val="001E4F92"/>
    <w:rsid w:val="001F2174"/>
    <w:rsid w:val="001F4A73"/>
    <w:rsid w:val="002027D5"/>
    <w:rsid w:val="00205580"/>
    <w:rsid w:val="00213DC6"/>
    <w:rsid w:val="002157BB"/>
    <w:rsid w:val="0022431F"/>
    <w:rsid w:val="00224E0F"/>
    <w:rsid w:val="002262B5"/>
    <w:rsid w:val="00227137"/>
    <w:rsid w:val="00231319"/>
    <w:rsid w:val="0023138D"/>
    <w:rsid w:val="00231601"/>
    <w:rsid w:val="00240013"/>
    <w:rsid w:val="0024118E"/>
    <w:rsid w:val="00241BAC"/>
    <w:rsid w:val="0024329B"/>
    <w:rsid w:val="002436CF"/>
    <w:rsid w:val="00247360"/>
    <w:rsid w:val="00253849"/>
    <w:rsid w:val="00260382"/>
    <w:rsid w:val="002643C1"/>
    <w:rsid w:val="00266CB4"/>
    <w:rsid w:val="00267DD1"/>
    <w:rsid w:val="00271392"/>
    <w:rsid w:val="002801AA"/>
    <w:rsid w:val="0028393F"/>
    <w:rsid w:val="002903C7"/>
    <w:rsid w:val="00292405"/>
    <w:rsid w:val="00293D00"/>
    <w:rsid w:val="00295B34"/>
    <w:rsid w:val="002A5D69"/>
    <w:rsid w:val="002B1A1B"/>
    <w:rsid w:val="002B1DBF"/>
    <w:rsid w:val="002C0A37"/>
    <w:rsid w:val="002C0D5D"/>
    <w:rsid w:val="002C692D"/>
    <w:rsid w:val="002C6ABE"/>
    <w:rsid w:val="002D2013"/>
    <w:rsid w:val="002D4160"/>
    <w:rsid w:val="002D49DD"/>
    <w:rsid w:val="002D7B89"/>
    <w:rsid w:val="002E388C"/>
    <w:rsid w:val="002E4D81"/>
    <w:rsid w:val="002E4FF5"/>
    <w:rsid w:val="002E6E90"/>
    <w:rsid w:val="002E7CBF"/>
    <w:rsid w:val="002F1BF3"/>
    <w:rsid w:val="002F4CF2"/>
    <w:rsid w:val="002F4D43"/>
    <w:rsid w:val="002F52C7"/>
    <w:rsid w:val="003056C6"/>
    <w:rsid w:val="00311B14"/>
    <w:rsid w:val="003138DA"/>
    <w:rsid w:val="00316DD2"/>
    <w:rsid w:val="00317238"/>
    <w:rsid w:val="003175C9"/>
    <w:rsid w:val="00320425"/>
    <w:rsid w:val="00324306"/>
    <w:rsid w:val="00326C9B"/>
    <w:rsid w:val="003278D6"/>
    <w:rsid w:val="003303F0"/>
    <w:rsid w:val="0033725A"/>
    <w:rsid w:val="003372E3"/>
    <w:rsid w:val="0034059B"/>
    <w:rsid w:val="00341394"/>
    <w:rsid w:val="00342381"/>
    <w:rsid w:val="003460F1"/>
    <w:rsid w:val="0035019C"/>
    <w:rsid w:val="00360248"/>
    <w:rsid w:val="00366A46"/>
    <w:rsid w:val="0037425A"/>
    <w:rsid w:val="0037685A"/>
    <w:rsid w:val="003779F3"/>
    <w:rsid w:val="00377A0D"/>
    <w:rsid w:val="0038677D"/>
    <w:rsid w:val="00390B93"/>
    <w:rsid w:val="00390C45"/>
    <w:rsid w:val="0039454F"/>
    <w:rsid w:val="003A297A"/>
    <w:rsid w:val="003C1EE7"/>
    <w:rsid w:val="003C3363"/>
    <w:rsid w:val="003C4C68"/>
    <w:rsid w:val="003D3FF4"/>
    <w:rsid w:val="003D7161"/>
    <w:rsid w:val="003D7A43"/>
    <w:rsid w:val="003E3F9D"/>
    <w:rsid w:val="003E5B5D"/>
    <w:rsid w:val="003E69E5"/>
    <w:rsid w:val="003E6F71"/>
    <w:rsid w:val="003F7458"/>
    <w:rsid w:val="00400CE1"/>
    <w:rsid w:val="0040748E"/>
    <w:rsid w:val="0041075A"/>
    <w:rsid w:val="00412206"/>
    <w:rsid w:val="004204E7"/>
    <w:rsid w:val="00427B02"/>
    <w:rsid w:val="00427E08"/>
    <w:rsid w:val="0043219C"/>
    <w:rsid w:val="004349BA"/>
    <w:rsid w:val="0043575C"/>
    <w:rsid w:val="004365C7"/>
    <w:rsid w:val="004425B7"/>
    <w:rsid w:val="00443227"/>
    <w:rsid w:val="00444A85"/>
    <w:rsid w:val="00445051"/>
    <w:rsid w:val="004463A8"/>
    <w:rsid w:val="004534CC"/>
    <w:rsid w:val="0045651D"/>
    <w:rsid w:val="00462CFA"/>
    <w:rsid w:val="00462E74"/>
    <w:rsid w:val="00476CB0"/>
    <w:rsid w:val="00486DB1"/>
    <w:rsid w:val="004875EA"/>
    <w:rsid w:val="004937F5"/>
    <w:rsid w:val="00493E10"/>
    <w:rsid w:val="004972E8"/>
    <w:rsid w:val="004A1D19"/>
    <w:rsid w:val="004A31A7"/>
    <w:rsid w:val="004B2ED7"/>
    <w:rsid w:val="004C00E4"/>
    <w:rsid w:val="004C0F9E"/>
    <w:rsid w:val="004C1243"/>
    <w:rsid w:val="004C5C26"/>
    <w:rsid w:val="004D17F4"/>
    <w:rsid w:val="004D3965"/>
    <w:rsid w:val="004E07B0"/>
    <w:rsid w:val="004F7E99"/>
    <w:rsid w:val="005003F9"/>
    <w:rsid w:val="0050417B"/>
    <w:rsid w:val="00507409"/>
    <w:rsid w:val="005133CE"/>
    <w:rsid w:val="005166C5"/>
    <w:rsid w:val="00521BA3"/>
    <w:rsid w:val="00523E0D"/>
    <w:rsid w:val="00525588"/>
    <w:rsid w:val="005262E9"/>
    <w:rsid w:val="0052710E"/>
    <w:rsid w:val="00535C53"/>
    <w:rsid w:val="00540AE6"/>
    <w:rsid w:val="005442FC"/>
    <w:rsid w:val="0055631D"/>
    <w:rsid w:val="005606CB"/>
    <w:rsid w:val="00582F3C"/>
    <w:rsid w:val="005902F9"/>
    <w:rsid w:val="00592117"/>
    <w:rsid w:val="00593935"/>
    <w:rsid w:val="005973FD"/>
    <w:rsid w:val="00597C68"/>
    <w:rsid w:val="005A382B"/>
    <w:rsid w:val="005A4047"/>
    <w:rsid w:val="005A4BAF"/>
    <w:rsid w:val="005A66D6"/>
    <w:rsid w:val="005B4081"/>
    <w:rsid w:val="005C0D39"/>
    <w:rsid w:val="005C3CBA"/>
    <w:rsid w:val="005C6232"/>
    <w:rsid w:val="005D6F7A"/>
    <w:rsid w:val="005D783C"/>
    <w:rsid w:val="005E41FF"/>
    <w:rsid w:val="005E5B88"/>
    <w:rsid w:val="005E78EE"/>
    <w:rsid w:val="005F10A8"/>
    <w:rsid w:val="005F139F"/>
    <w:rsid w:val="005F1EBD"/>
    <w:rsid w:val="006002BB"/>
    <w:rsid w:val="00602F84"/>
    <w:rsid w:val="0060503F"/>
    <w:rsid w:val="006063D0"/>
    <w:rsid w:val="00613C45"/>
    <w:rsid w:val="00615191"/>
    <w:rsid w:val="00626018"/>
    <w:rsid w:val="00633D4E"/>
    <w:rsid w:val="0063526F"/>
    <w:rsid w:val="00637E86"/>
    <w:rsid w:val="006422DE"/>
    <w:rsid w:val="006439FA"/>
    <w:rsid w:val="00643AF6"/>
    <w:rsid w:val="006466B3"/>
    <w:rsid w:val="006560FA"/>
    <w:rsid w:val="0067485D"/>
    <w:rsid w:val="006839A2"/>
    <w:rsid w:val="00692578"/>
    <w:rsid w:val="00694DEB"/>
    <w:rsid w:val="006A1FE2"/>
    <w:rsid w:val="006A2065"/>
    <w:rsid w:val="006A3D88"/>
    <w:rsid w:val="006A4A7A"/>
    <w:rsid w:val="006A7C94"/>
    <w:rsid w:val="006B0848"/>
    <w:rsid w:val="006B733D"/>
    <w:rsid w:val="006C34AE"/>
    <w:rsid w:val="006C408A"/>
    <w:rsid w:val="006C4F2E"/>
    <w:rsid w:val="006C67AF"/>
    <w:rsid w:val="006D0FFF"/>
    <w:rsid w:val="006D2AB2"/>
    <w:rsid w:val="006D3DC5"/>
    <w:rsid w:val="006D5A4F"/>
    <w:rsid w:val="006D7245"/>
    <w:rsid w:val="006E14C4"/>
    <w:rsid w:val="006E34CB"/>
    <w:rsid w:val="006E5983"/>
    <w:rsid w:val="006F143B"/>
    <w:rsid w:val="00701C5A"/>
    <w:rsid w:val="0070228A"/>
    <w:rsid w:val="00702E20"/>
    <w:rsid w:val="007039EC"/>
    <w:rsid w:val="0071572D"/>
    <w:rsid w:val="007157BA"/>
    <w:rsid w:val="007169F9"/>
    <w:rsid w:val="007174A6"/>
    <w:rsid w:val="00717950"/>
    <w:rsid w:val="007224B3"/>
    <w:rsid w:val="00726320"/>
    <w:rsid w:val="007274D5"/>
    <w:rsid w:val="00731303"/>
    <w:rsid w:val="00732A95"/>
    <w:rsid w:val="00732D90"/>
    <w:rsid w:val="007402A5"/>
    <w:rsid w:val="007402E0"/>
    <w:rsid w:val="007436DB"/>
    <w:rsid w:val="0074489D"/>
    <w:rsid w:val="00746549"/>
    <w:rsid w:val="007471AB"/>
    <w:rsid w:val="007504F4"/>
    <w:rsid w:val="007514AD"/>
    <w:rsid w:val="00752077"/>
    <w:rsid w:val="00753941"/>
    <w:rsid w:val="0075524D"/>
    <w:rsid w:val="007560B0"/>
    <w:rsid w:val="007627D7"/>
    <w:rsid w:val="0076482C"/>
    <w:rsid w:val="00767122"/>
    <w:rsid w:val="0077196D"/>
    <w:rsid w:val="00772887"/>
    <w:rsid w:val="00774AFB"/>
    <w:rsid w:val="00776BF8"/>
    <w:rsid w:val="00776C4F"/>
    <w:rsid w:val="00780154"/>
    <w:rsid w:val="007838E4"/>
    <w:rsid w:val="007846DC"/>
    <w:rsid w:val="00786426"/>
    <w:rsid w:val="007A02CA"/>
    <w:rsid w:val="007A19D8"/>
    <w:rsid w:val="007A3085"/>
    <w:rsid w:val="007A5691"/>
    <w:rsid w:val="007B1394"/>
    <w:rsid w:val="007D3F55"/>
    <w:rsid w:val="007E022C"/>
    <w:rsid w:val="007E36E4"/>
    <w:rsid w:val="007E5963"/>
    <w:rsid w:val="007F0ACE"/>
    <w:rsid w:val="007F31AE"/>
    <w:rsid w:val="007F37D1"/>
    <w:rsid w:val="00800F0E"/>
    <w:rsid w:val="00804024"/>
    <w:rsid w:val="0080573A"/>
    <w:rsid w:val="00811C21"/>
    <w:rsid w:val="0081753E"/>
    <w:rsid w:val="008320D4"/>
    <w:rsid w:val="008335B3"/>
    <w:rsid w:val="00835B67"/>
    <w:rsid w:val="008433E3"/>
    <w:rsid w:val="008477FB"/>
    <w:rsid w:val="0085010E"/>
    <w:rsid w:val="0085254C"/>
    <w:rsid w:val="0085454F"/>
    <w:rsid w:val="008612EB"/>
    <w:rsid w:val="00862635"/>
    <w:rsid w:val="008671D3"/>
    <w:rsid w:val="00870102"/>
    <w:rsid w:val="0087354F"/>
    <w:rsid w:val="008762EF"/>
    <w:rsid w:val="00896985"/>
    <w:rsid w:val="008C53D0"/>
    <w:rsid w:val="008D0C8D"/>
    <w:rsid w:val="008D43E1"/>
    <w:rsid w:val="008D527A"/>
    <w:rsid w:val="008D56DA"/>
    <w:rsid w:val="008D5771"/>
    <w:rsid w:val="008E6270"/>
    <w:rsid w:val="008F0E95"/>
    <w:rsid w:val="008F472E"/>
    <w:rsid w:val="00902556"/>
    <w:rsid w:val="0090338C"/>
    <w:rsid w:val="00903B70"/>
    <w:rsid w:val="00910415"/>
    <w:rsid w:val="0091048E"/>
    <w:rsid w:val="00916E68"/>
    <w:rsid w:val="00920D0B"/>
    <w:rsid w:val="0092230A"/>
    <w:rsid w:val="00923AD3"/>
    <w:rsid w:val="00924ABC"/>
    <w:rsid w:val="009266A0"/>
    <w:rsid w:val="00927812"/>
    <w:rsid w:val="00940E8F"/>
    <w:rsid w:val="00942655"/>
    <w:rsid w:val="00944CC8"/>
    <w:rsid w:val="009453BD"/>
    <w:rsid w:val="00945844"/>
    <w:rsid w:val="0095309C"/>
    <w:rsid w:val="009652F2"/>
    <w:rsid w:val="00965809"/>
    <w:rsid w:val="0097038D"/>
    <w:rsid w:val="009719ED"/>
    <w:rsid w:val="00971C32"/>
    <w:rsid w:val="009854BC"/>
    <w:rsid w:val="00986276"/>
    <w:rsid w:val="00986C37"/>
    <w:rsid w:val="00991D3B"/>
    <w:rsid w:val="00997528"/>
    <w:rsid w:val="0099796A"/>
    <w:rsid w:val="009B1BE6"/>
    <w:rsid w:val="009B4090"/>
    <w:rsid w:val="009B4156"/>
    <w:rsid w:val="009B460C"/>
    <w:rsid w:val="009B7071"/>
    <w:rsid w:val="009B7DDD"/>
    <w:rsid w:val="009C1346"/>
    <w:rsid w:val="009D05C8"/>
    <w:rsid w:val="009D130E"/>
    <w:rsid w:val="009D1F57"/>
    <w:rsid w:val="009E3C0B"/>
    <w:rsid w:val="009F0FE2"/>
    <w:rsid w:val="00A00614"/>
    <w:rsid w:val="00A04657"/>
    <w:rsid w:val="00A129C6"/>
    <w:rsid w:val="00A13244"/>
    <w:rsid w:val="00A239AA"/>
    <w:rsid w:val="00A25BB4"/>
    <w:rsid w:val="00A31B9C"/>
    <w:rsid w:val="00A439E8"/>
    <w:rsid w:val="00A45753"/>
    <w:rsid w:val="00A53194"/>
    <w:rsid w:val="00A53423"/>
    <w:rsid w:val="00A54CAB"/>
    <w:rsid w:val="00A55588"/>
    <w:rsid w:val="00A576AD"/>
    <w:rsid w:val="00A62659"/>
    <w:rsid w:val="00A65082"/>
    <w:rsid w:val="00A65F20"/>
    <w:rsid w:val="00A73646"/>
    <w:rsid w:val="00A76293"/>
    <w:rsid w:val="00A77DA2"/>
    <w:rsid w:val="00A8205C"/>
    <w:rsid w:val="00A85D9D"/>
    <w:rsid w:val="00A90584"/>
    <w:rsid w:val="00A92C4C"/>
    <w:rsid w:val="00A97095"/>
    <w:rsid w:val="00AA602D"/>
    <w:rsid w:val="00AB1EF9"/>
    <w:rsid w:val="00AB3266"/>
    <w:rsid w:val="00AB572D"/>
    <w:rsid w:val="00AC26C2"/>
    <w:rsid w:val="00AE2923"/>
    <w:rsid w:val="00AE6895"/>
    <w:rsid w:val="00AE7F9D"/>
    <w:rsid w:val="00AF1794"/>
    <w:rsid w:val="00B021AD"/>
    <w:rsid w:val="00B028F7"/>
    <w:rsid w:val="00B07951"/>
    <w:rsid w:val="00B1079A"/>
    <w:rsid w:val="00B21275"/>
    <w:rsid w:val="00B22863"/>
    <w:rsid w:val="00B31029"/>
    <w:rsid w:val="00B31571"/>
    <w:rsid w:val="00B31BCE"/>
    <w:rsid w:val="00B323FA"/>
    <w:rsid w:val="00B32F4C"/>
    <w:rsid w:val="00B400D1"/>
    <w:rsid w:val="00B40D3C"/>
    <w:rsid w:val="00B41502"/>
    <w:rsid w:val="00B51024"/>
    <w:rsid w:val="00B512B5"/>
    <w:rsid w:val="00B52697"/>
    <w:rsid w:val="00B56C94"/>
    <w:rsid w:val="00B576C1"/>
    <w:rsid w:val="00B60CD8"/>
    <w:rsid w:val="00B60F9C"/>
    <w:rsid w:val="00B61FCE"/>
    <w:rsid w:val="00B669D0"/>
    <w:rsid w:val="00B6769E"/>
    <w:rsid w:val="00B7033D"/>
    <w:rsid w:val="00B70F69"/>
    <w:rsid w:val="00B73F22"/>
    <w:rsid w:val="00B76F9A"/>
    <w:rsid w:val="00B810B2"/>
    <w:rsid w:val="00B825A7"/>
    <w:rsid w:val="00B839E2"/>
    <w:rsid w:val="00B93844"/>
    <w:rsid w:val="00B97B08"/>
    <w:rsid w:val="00BA26F7"/>
    <w:rsid w:val="00BA38CC"/>
    <w:rsid w:val="00BA4F8E"/>
    <w:rsid w:val="00BA79F0"/>
    <w:rsid w:val="00BB4740"/>
    <w:rsid w:val="00BB4CCC"/>
    <w:rsid w:val="00BB5068"/>
    <w:rsid w:val="00BB5E16"/>
    <w:rsid w:val="00BB7AE8"/>
    <w:rsid w:val="00BC6DF0"/>
    <w:rsid w:val="00BD0481"/>
    <w:rsid w:val="00BD0808"/>
    <w:rsid w:val="00BD4447"/>
    <w:rsid w:val="00BE2623"/>
    <w:rsid w:val="00BE3822"/>
    <w:rsid w:val="00BE3923"/>
    <w:rsid w:val="00BE4BF0"/>
    <w:rsid w:val="00BE552E"/>
    <w:rsid w:val="00BE5EE5"/>
    <w:rsid w:val="00BE68EE"/>
    <w:rsid w:val="00BE7F63"/>
    <w:rsid w:val="00BF45FB"/>
    <w:rsid w:val="00BF5D02"/>
    <w:rsid w:val="00C018A8"/>
    <w:rsid w:val="00C03754"/>
    <w:rsid w:val="00C07A36"/>
    <w:rsid w:val="00C11360"/>
    <w:rsid w:val="00C123B1"/>
    <w:rsid w:val="00C21071"/>
    <w:rsid w:val="00C2398C"/>
    <w:rsid w:val="00C25569"/>
    <w:rsid w:val="00C27366"/>
    <w:rsid w:val="00C301BE"/>
    <w:rsid w:val="00C325D9"/>
    <w:rsid w:val="00C456C3"/>
    <w:rsid w:val="00C47BCD"/>
    <w:rsid w:val="00C50631"/>
    <w:rsid w:val="00C621D9"/>
    <w:rsid w:val="00C63AA8"/>
    <w:rsid w:val="00C64D02"/>
    <w:rsid w:val="00C66E81"/>
    <w:rsid w:val="00C7000E"/>
    <w:rsid w:val="00C72F0F"/>
    <w:rsid w:val="00C7783C"/>
    <w:rsid w:val="00C81210"/>
    <w:rsid w:val="00C86048"/>
    <w:rsid w:val="00C878FC"/>
    <w:rsid w:val="00C91EF1"/>
    <w:rsid w:val="00C974F1"/>
    <w:rsid w:val="00CA0C1C"/>
    <w:rsid w:val="00CA5577"/>
    <w:rsid w:val="00CA6B58"/>
    <w:rsid w:val="00CA7186"/>
    <w:rsid w:val="00CB1AE6"/>
    <w:rsid w:val="00CB3ED4"/>
    <w:rsid w:val="00CB3F86"/>
    <w:rsid w:val="00CC6EBA"/>
    <w:rsid w:val="00CC78BA"/>
    <w:rsid w:val="00CD0739"/>
    <w:rsid w:val="00CD0C4F"/>
    <w:rsid w:val="00CD34F0"/>
    <w:rsid w:val="00CE075E"/>
    <w:rsid w:val="00CE0954"/>
    <w:rsid w:val="00CE4F6C"/>
    <w:rsid w:val="00CE5D37"/>
    <w:rsid w:val="00CE7D3E"/>
    <w:rsid w:val="00CF11F7"/>
    <w:rsid w:val="00D01921"/>
    <w:rsid w:val="00D019E2"/>
    <w:rsid w:val="00D0746A"/>
    <w:rsid w:val="00D10813"/>
    <w:rsid w:val="00D1323F"/>
    <w:rsid w:val="00D14262"/>
    <w:rsid w:val="00D14954"/>
    <w:rsid w:val="00D202BA"/>
    <w:rsid w:val="00D2066D"/>
    <w:rsid w:val="00D22A1C"/>
    <w:rsid w:val="00D251AC"/>
    <w:rsid w:val="00D317DB"/>
    <w:rsid w:val="00D363E5"/>
    <w:rsid w:val="00D414B3"/>
    <w:rsid w:val="00D41ED2"/>
    <w:rsid w:val="00D43766"/>
    <w:rsid w:val="00D45C03"/>
    <w:rsid w:val="00D47CCF"/>
    <w:rsid w:val="00D54EBD"/>
    <w:rsid w:val="00D640F6"/>
    <w:rsid w:val="00D6457B"/>
    <w:rsid w:val="00D66DEC"/>
    <w:rsid w:val="00D71A41"/>
    <w:rsid w:val="00D75EF5"/>
    <w:rsid w:val="00D768A4"/>
    <w:rsid w:val="00D85C57"/>
    <w:rsid w:val="00D862E1"/>
    <w:rsid w:val="00D92F52"/>
    <w:rsid w:val="00DA5623"/>
    <w:rsid w:val="00DA6550"/>
    <w:rsid w:val="00DA74E1"/>
    <w:rsid w:val="00DA753F"/>
    <w:rsid w:val="00DB3964"/>
    <w:rsid w:val="00DB4429"/>
    <w:rsid w:val="00DC182C"/>
    <w:rsid w:val="00DC2CB6"/>
    <w:rsid w:val="00DC4E5B"/>
    <w:rsid w:val="00DC5754"/>
    <w:rsid w:val="00DD314E"/>
    <w:rsid w:val="00DD34A3"/>
    <w:rsid w:val="00DD4EC8"/>
    <w:rsid w:val="00DD6056"/>
    <w:rsid w:val="00DE6050"/>
    <w:rsid w:val="00DE7C6A"/>
    <w:rsid w:val="00DF2857"/>
    <w:rsid w:val="00DF782B"/>
    <w:rsid w:val="00E0069D"/>
    <w:rsid w:val="00E03AEF"/>
    <w:rsid w:val="00E03C62"/>
    <w:rsid w:val="00E04611"/>
    <w:rsid w:val="00E102DE"/>
    <w:rsid w:val="00E10360"/>
    <w:rsid w:val="00E129C0"/>
    <w:rsid w:val="00E24825"/>
    <w:rsid w:val="00E42093"/>
    <w:rsid w:val="00E44D9F"/>
    <w:rsid w:val="00E46683"/>
    <w:rsid w:val="00E522AD"/>
    <w:rsid w:val="00E614BC"/>
    <w:rsid w:val="00E62B9F"/>
    <w:rsid w:val="00E64103"/>
    <w:rsid w:val="00E656E1"/>
    <w:rsid w:val="00E70777"/>
    <w:rsid w:val="00E73A5B"/>
    <w:rsid w:val="00E75420"/>
    <w:rsid w:val="00E75512"/>
    <w:rsid w:val="00E75CBB"/>
    <w:rsid w:val="00E76CD1"/>
    <w:rsid w:val="00E80B18"/>
    <w:rsid w:val="00E923F0"/>
    <w:rsid w:val="00EA5616"/>
    <w:rsid w:val="00EB6BC9"/>
    <w:rsid w:val="00EC02C6"/>
    <w:rsid w:val="00ED1370"/>
    <w:rsid w:val="00EE4AD8"/>
    <w:rsid w:val="00EF551F"/>
    <w:rsid w:val="00F01A3E"/>
    <w:rsid w:val="00F03064"/>
    <w:rsid w:val="00F03201"/>
    <w:rsid w:val="00F1127A"/>
    <w:rsid w:val="00F139AC"/>
    <w:rsid w:val="00F21EAC"/>
    <w:rsid w:val="00F23F7D"/>
    <w:rsid w:val="00F3243D"/>
    <w:rsid w:val="00F41C96"/>
    <w:rsid w:val="00F46D0D"/>
    <w:rsid w:val="00F65EAA"/>
    <w:rsid w:val="00F75564"/>
    <w:rsid w:val="00F81DBB"/>
    <w:rsid w:val="00F92B59"/>
    <w:rsid w:val="00F948BC"/>
    <w:rsid w:val="00F960CF"/>
    <w:rsid w:val="00FA10A3"/>
    <w:rsid w:val="00FA1226"/>
    <w:rsid w:val="00FA7771"/>
    <w:rsid w:val="00FB3E38"/>
    <w:rsid w:val="00FC3E4F"/>
    <w:rsid w:val="00FD09D8"/>
    <w:rsid w:val="00FD0C68"/>
    <w:rsid w:val="00FD3513"/>
    <w:rsid w:val="00FD4D62"/>
    <w:rsid w:val="00FF2318"/>
    <w:rsid w:val="00FF2CFC"/>
    <w:rsid w:val="00FF7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43311"/>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8D43E1"/>
    <w:rPr>
      <w:i/>
      <w:iCs/>
    </w:rPr>
  </w:style>
  <w:style w:type="character" w:customStyle="1" w:styleId="Nierozpoznanawzmianka1">
    <w:name w:val="Nierozpoznana wzmianka1"/>
    <w:basedOn w:val="Domylnaczcionkaakapitu"/>
    <w:uiPriority w:val="99"/>
    <w:semiHidden/>
    <w:unhideWhenUsed/>
    <w:rsid w:val="00B576C1"/>
    <w:rPr>
      <w:color w:val="605E5C"/>
      <w:shd w:val="clear" w:color="auto" w:fill="E1DFDD"/>
    </w:rPr>
  </w:style>
  <w:style w:type="paragraph" w:styleId="Tekstprzypisudolnego">
    <w:name w:val="footnote text"/>
    <w:basedOn w:val="Normalny"/>
    <w:link w:val="TekstprzypisudolnegoZnak"/>
    <w:uiPriority w:val="99"/>
    <w:semiHidden/>
    <w:unhideWhenUsed/>
    <w:rsid w:val="00180816"/>
    <w:rPr>
      <w:sz w:val="20"/>
      <w:szCs w:val="20"/>
    </w:rPr>
  </w:style>
  <w:style w:type="character" w:customStyle="1" w:styleId="TekstprzypisudolnegoZnak">
    <w:name w:val="Tekst przypisu dolnego Znak"/>
    <w:basedOn w:val="Domylnaczcionkaakapitu"/>
    <w:link w:val="Tekstprzypisudolnego"/>
    <w:uiPriority w:val="99"/>
    <w:semiHidden/>
    <w:rsid w:val="00180816"/>
    <w:rPr>
      <w:rFonts w:ascii="Trebuchet MS" w:eastAsia="Times New Roman" w:hAnsi="Trebuchet MS" w:cs="Times New Roman"/>
      <w:sz w:val="20"/>
      <w:szCs w:val="20"/>
    </w:rPr>
  </w:style>
  <w:style w:type="character" w:styleId="Odwoanieprzypisudolnego">
    <w:name w:val="footnote reference"/>
    <w:basedOn w:val="Domylnaczcionkaakapitu"/>
    <w:uiPriority w:val="99"/>
    <w:semiHidden/>
    <w:unhideWhenUsed/>
    <w:rsid w:val="00180816"/>
    <w:rPr>
      <w:vertAlign w:val="superscript"/>
    </w:rPr>
  </w:style>
  <w:style w:type="character" w:styleId="UyteHipercze">
    <w:name w:val="FollowedHyperlink"/>
    <w:basedOn w:val="Domylnaczcionkaakapitu"/>
    <w:uiPriority w:val="99"/>
    <w:semiHidden/>
    <w:unhideWhenUsed/>
    <w:rsid w:val="00180816"/>
    <w:rPr>
      <w:color w:val="954F72" w:themeColor="followedHyperlink"/>
      <w:u w:val="single"/>
    </w:rPr>
  </w:style>
  <w:style w:type="paragraph" w:customStyle="1" w:styleId="Znak">
    <w:name w:val="Znak"/>
    <w:basedOn w:val="Normalny"/>
    <w:rsid w:val="00870102"/>
    <w:rPr>
      <w:rFonts w:ascii="Times New Roman" w:hAnsi="Times New Roman"/>
      <w:sz w:val="24"/>
      <w:szCs w:val="24"/>
      <w:lang w:eastAsia="pl-PL"/>
    </w:rPr>
  </w:style>
  <w:style w:type="table" w:styleId="Tabela-Siatka">
    <w:name w:val="Table Grid"/>
    <w:basedOn w:val="Standardowy"/>
    <w:uiPriority w:val="59"/>
    <w:rsid w:val="00B40D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3219C"/>
    <w:rPr>
      <w:color w:val="605E5C"/>
      <w:shd w:val="clear" w:color="auto" w:fill="E1DFDD"/>
    </w:rPr>
  </w:style>
  <w:style w:type="paragraph" w:styleId="NormalnyWeb">
    <w:name w:val="Normal (Web)"/>
    <w:basedOn w:val="Normalny"/>
    <w:uiPriority w:val="99"/>
    <w:semiHidden/>
    <w:unhideWhenUsed/>
    <w:rsid w:val="004937F5"/>
    <w:pPr>
      <w:spacing w:after="100" w:afterAutospacing="1" w:line="372" w:lineRule="auto"/>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locked/>
    <w:rsid w:val="00224E0F"/>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7896">
      <w:bodyDiv w:val="1"/>
      <w:marLeft w:val="0"/>
      <w:marRight w:val="0"/>
      <w:marTop w:val="0"/>
      <w:marBottom w:val="0"/>
      <w:divBdr>
        <w:top w:val="none" w:sz="0" w:space="0" w:color="auto"/>
        <w:left w:val="none" w:sz="0" w:space="0" w:color="auto"/>
        <w:bottom w:val="none" w:sz="0" w:space="0" w:color="auto"/>
        <w:right w:val="none" w:sz="0" w:space="0" w:color="auto"/>
      </w:divBdr>
    </w:div>
    <w:div w:id="243877148">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330697">
      <w:bodyDiv w:val="1"/>
      <w:marLeft w:val="0"/>
      <w:marRight w:val="0"/>
      <w:marTop w:val="0"/>
      <w:marBottom w:val="0"/>
      <w:divBdr>
        <w:top w:val="none" w:sz="0" w:space="0" w:color="auto"/>
        <w:left w:val="none" w:sz="0" w:space="0" w:color="auto"/>
        <w:bottom w:val="none" w:sz="0" w:space="0" w:color="auto"/>
        <w:right w:val="none" w:sz="0" w:space="0" w:color="auto"/>
      </w:divBdr>
    </w:div>
    <w:div w:id="854541066">
      <w:bodyDiv w:val="1"/>
      <w:marLeft w:val="0"/>
      <w:marRight w:val="0"/>
      <w:marTop w:val="0"/>
      <w:marBottom w:val="0"/>
      <w:divBdr>
        <w:top w:val="none" w:sz="0" w:space="0" w:color="auto"/>
        <w:left w:val="none" w:sz="0" w:space="0" w:color="auto"/>
        <w:bottom w:val="none" w:sz="0" w:space="0" w:color="auto"/>
        <w:right w:val="none" w:sz="0" w:space="0" w:color="auto"/>
      </w:divBdr>
    </w:div>
    <w:div w:id="875317007">
      <w:bodyDiv w:val="1"/>
      <w:marLeft w:val="0"/>
      <w:marRight w:val="0"/>
      <w:marTop w:val="0"/>
      <w:marBottom w:val="0"/>
      <w:divBdr>
        <w:top w:val="none" w:sz="0" w:space="0" w:color="auto"/>
        <w:left w:val="none" w:sz="0" w:space="0" w:color="auto"/>
        <w:bottom w:val="none" w:sz="0" w:space="0" w:color="auto"/>
        <w:right w:val="none" w:sz="0" w:space="0" w:color="auto"/>
      </w:divBdr>
      <w:divsChild>
        <w:div w:id="496771727">
          <w:marLeft w:val="0"/>
          <w:marRight w:val="0"/>
          <w:marTop w:val="0"/>
          <w:marBottom w:val="0"/>
          <w:divBdr>
            <w:top w:val="none" w:sz="0" w:space="0" w:color="auto"/>
            <w:left w:val="none" w:sz="0" w:space="0" w:color="auto"/>
            <w:bottom w:val="none" w:sz="0" w:space="0" w:color="auto"/>
            <w:right w:val="none" w:sz="0" w:space="0" w:color="auto"/>
          </w:divBdr>
        </w:div>
        <w:div w:id="1191649628">
          <w:marLeft w:val="0"/>
          <w:marRight w:val="0"/>
          <w:marTop w:val="0"/>
          <w:marBottom w:val="0"/>
          <w:divBdr>
            <w:top w:val="none" w:sz="0" w:space="0" w:color="auto"/>
            <w:left w:val="none" w:sz="0" w:space="0" w:color="auto"/>
            <w:bottom w:val="none" w:sz="0" w:space="0" w:color="auto"/>
            <w:right w:val="none" w:sz="0" w:space="0" w:color="auto"/>
          </w:divBdr>
        </w:div>
        <w:div w:id="1304698556">
          <w:marLeft w:val="0"/>
          <w:marRight w:val="0"/>
          <w:marTop w:val="0"/>
          <w:marBottom w:val="0"/>
          <w:divBdr>
            <w:top w:val="none" w:sz="0" w:space="0" w:color="auto"/>
            <w:left w:val="none" w:sz="0" w:space="0" w:color="auto"/>
            <w:bottom w:val="none" w:sz="0" w:space="0" w:color="auto"/>
            <w:right w:val="none" w:sz="0" w:space="0" w:color="auto"/>
          </w:divBdr>
        </w:div>
      </w:divsChild>
    </w:div>
    <w:div w:id="905920187">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32289">
      <w:bodyDiv w:val="1"/>
      <w:marLeft w:val="0"/>
      <w:marRight w:val="0"/>
      <w:marTop w:val="0"/>
      <w:marBottom w:val="0"/>
      <w:divBdr>
        <w:top w:val="none" w:sz="0" w:space="0" w:color="auto"/>
        <w:left w:val="none" w:sz="0" w:space="0" w:color="auto"/>
        <w:bottom w:val="none" w:sz="0" w:space="0" w:color="auto"/>
        <w:right w:val="none" w:sz="0" w:space="0" w:color="auto"/>
      </w:divBdr>
    </w:div>
    <w:div w:id="1309897385">
      <w:bodyDiv w:val="1"/>
      <w:marLeft w:val="0"/>
      <w:marRight w:val="0"/>
      <w:marTop w:val="0"/>
      <w:marBottom w:val="0"/>
      <w:divBdr>
        <w:top w:val="none" w:sz="0" w:space="0" w:color="auto"/>
        <w:left w:val="none" w:sz="0" w:space="0" w:color="auto"/>
        <w:bottom w:val="none" w:sz="0" w:space="0" w:color="auto"/>
        <w:right w:val="none" w:sz="0" w:space="0" w:color="auto"/>
      </w:divBdr>
    </w:div>
    <w:div w:id="1419133073">
      <w:bodyDiv w:val="1"/>
      <w:marLeft w:val="0"/>
      <w:marRight w:val="0"/>
      <w:marTop w:val="0"/>
      <w:marBottom w:val="0"/>
      <w:divBdr>
        <w:top w:val="none" w:sz="0" w:space="0" w:color="auto"/>
        <w:left w:val="none" w:sz="0" w:space="0" w:color="auto"/>
        <w:bottom w:val="none" w:sz="0" w:space="0" w:color="auto"/>
        <w:right w:val="none" w:sz="0" w:space="0" w:color="auto"/>
      </w:divBdr>
    </w:div>
    <w:div w:id="1441099214">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94458311">
      <w:bodyDiv w:val="1"/>
      <w:marLeft w:val="0"/>
      <w:marRight w:val="0"/>
      <w:marTop w:val="0"/>
      <w:marBottom w:val="0"/>
      <w:divBdr>
        <w:top w:val="none" w:sz="0" w:space="0" w:color="auto"/>
        <w:left w:val="none" w:sz="0" w:space="0" w:color="auto"/>
        <w:bottom w:val="none" w:sz="0" w:space="0" w:color="auto"/>
        <w:right w:val="none" w:sz="0" w:space="0" w:color="auto"/>
      </w:divBdr>
    </w:div>
    <w:div w:id="1936592232">
      <w:bodyDiv w:val="1"/>
      <w:marLeft w:val="0"/>
      <w:marRight w:val="0"/>
      <w:marTop w:val="0"/>
      <w:marBottom w:val="0"/>
      <w:divBdr>
        <w:top w:val="none" w:sz="0" w:space="0" w:color="auto"/>
        <w:left w:val="none" w:sz="0" w:space="0" w:color="auto"/>
        <w:bottom w:val="none" w:sz="0" w:space="0" w:color="auto"/>
        <w:right w:val="none" w:sz="0" w:space="0" w:color="auto"/>
      </w:divBdr>
    </w:div>
    <w:div w:id="2063946697">
      <w:bodyDiv w:val="1"/>
      <w:marLeft w:val="0"/>
      <w:marRight w:val="0"/>
      <w:marTop w:val="0"/>
      <w:marBottom w:val="0"/>
      <w:divBdr>
        <w:top w:val="none" w:sz="0" w:space="0" w:color="auto"/>
        <w:left w:val="none" w:sz="0" w:space="0" w:color="auto"/>
        <w:bottom w:val="none" w:sz="0" w:space="0" w:color="auto"/>
        <w:right w:val="none" w:sz="0" w:space="0" w:color="auto"/>
      </w:divBdr>
    </w:div>
    <w:div w:id="21248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zatoryplatnicze.uokik.gov.pl/"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28A6-339B-49AE-8CC6-D43195F649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79BD9AD-9C8C-4F56-93E4-F7F3881E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Kowalska</dc:creator>
  <cp:keywords/>
  <dc:description/>
  <cp:lastModifiedBy>Maciej Chmielowski</cp:lastModifiedBy>
  <cp:revision>3</cp:revision>
  <cp:lastPrinted>2022-01-19T10:27:00Z</cp:lastPrinted>
  <dcterms:created xsi:type="dcterms:W3CDTF">2022-12-02T15:33:00Z</dcterms:created>
  <dcterms:modified xsi:type="dcterms:W3CDTF">2022-12-02T15:41:00Z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e09ae793-c751-45db-b1e1-dbd067f8a054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