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6B709300" w:rsidR="0089209F" w:rsidRPr="00B56D88" w:rsidRDefault="0089209F" w:rsidP="00A14D51">
      <w:pPr>
        <w:pStyle w:val="Nagwek"/>
        <w:spacing w:line="360" w:lineRule="auto"/>
        <w:rPr>
          <w:rFonts w:ascii="Arial" w:hAnsi="Arial" w:cs="Arial"/>
        </w:rPr>
      </w:pPr>
      <w:bookmarkStart w:id="0" w:name="_Hlk104358543"/>
      <w:bookmarkStart w:id="1" w:name="_Hlk104358949"/>
      <w:r w:rsidRPr="00B56D88">
        <w:rPr>
          <w:rFonts w:ascii="Arial" w:hAnsi="Arial" w:cs="Arial"/>
        </w:rPr>
        <w:t xml:space="preserve">Rzeszów, </w:t>
      </w:r>
      <w:r w:rsidR="00B56D88" w:rsidRPr="00B56D88">
        <w:rPr>
          <w:rFonts w:ascii="Arial" w:hAnsi="Arial" w:cs="Arial"/>
          <w:lang w:val="pl-PL"/>
        </w:rPr>
        <w:t>9</w:t>
      </w:r>
      <w:r w:rsidRPr="00B56D88">
        <w:rPr>
          <w:rFonts w:ascii="Arial" w:hAnsi="Arial" w:cs="Arial"/>
        </w:rPr>
        <w:t xml:space="preserve"> </w:t>
      </w:r>
      <w:r w:rsidR="00A14D51" w:rsidRPr="00B56D88">
        <w:rPr>
          <w:rFonts w:ascii="Arial" w:hAnsi="Arial" w:cs="Arial"/>
          <w:lang w:val="pl-PL"/>
        </w:rPr>
        <w:t xml:space="preserve">maja </w:t>
      </w:r>
      <w:r w:rsidRPr="00B56D88">
        <w:rPr>
          <w:rFonts w:ascii="Arial" w:hAnsi="Arial" w:cs="Arial"/>
        </w:rPr>
        <w:t>2022 r.</w:t>
      </w:r>
    </w:p>
    <w:p w14:paraId="067C078B" w14:textId="086A6E52" w:rsidR="0089209F" w:rsidRPr="00B56D88" w:rsidRDefault="0009281D" w:rsidP="00A14D51">
      <w:pPr>
        <w:pStyle w:val="Nagwek"/>
        <w:spacing w:line="360" w:lineRule="auto"/>
        <w:rPr>
          <w:rFonts w:ascii="Arial" w:hAnsi="Arial" w:cs="Arial"/>
        </w:rPr>
      </w:pPr>
      <w:r w:rsidRPr="00B56D88">
        <w:rPr>
          <w:rFonts w:ascii="Arial" w:hAnsi="Arial" w:cs="Arial"/>
          <w:lang w:val="pl-PL"/>
        </w:rPr>
        <w:t>D</w:t>
      </w:r>
      <w:r w:rsidR="00A14D51" w:rsidRPr="00B56D88">
        <w:rPr>
          <w:rFonts w:ascii="Arial" w:hAnsi="Arial" w:cs="Arial"/>
          <w:lang w:val="pl-PL"/>
        </w:rPr>
        <w:t>P</w:t>
      </w:r>
      <w:r w:rsidRPr="00B56D88">
        <w:rPr>
          <w:rFonts w:ascii="Arial" w:hAnsi="Arial" w:cs="Arial"/>
          <w:lang w:val="pl-PL"/>
        </w:rPr>
        <w:t>.8361.</w:t>
      </w:r>
      <w:r w:rsidR="00B56D88" w:rsidRPr="00B56D88">
        <w:rPr>
          <w:rFonts w:ascii="Arial" w:hAnsi="Arial" w:cs="Arial"/>
          <w:lang w:val="pl-PL"/>
        </w:rPr>
        <w:t>1</w:t>
      </w:r>
      <w:r w:rsidRPr="00B56D88">
        <w:rPr>
          <w:rFonts w:ascii="Arial" w:hAnsi="Arial" w:cs="Arial"/>
          <w:lang w:val="pl-PL"/>
        </w:rPr>
        <w:t>.202</w:t>
      </w:r>
      <w:r w:rsidR="00A14D51" w:rsidRPr="00B56D88">
        <w:rPr>
          <w:rFonts w:ascii="Arial" w:hAnsi="Arial" w:cs="Arial"/>
          <w:lang w:val="pl-PL"/>
        </w:rPr>
        <w:t>2</w:t>
      </w:r>
    </w:p>
    <w:bookmarkEnd w:id="0"/>
    <w:p w14:paraId="65E9E06F" w14:textId="7C4364F2" w:rsidR="00A96E78" w:rsidRPr="00B56D88" w:rsidRDefault="00187AEB" w:rsidP="00A14D51">
      <w:pPr>
        <w:pStyle w:val="Nagwek1"/>
        <w:spacing w:before="240" w:after="240" w:line="360" w:lineRule="auto"/>
        <w:jc w:val="left"/>
        <w:rPr>
          <w:rFonts w:ascii="Arial" w:hAnsi="Arial" w:cs="Arial"/>
          <w:sz w:val="28"/>
          <w:szCs w:val="28"/>
        </w:rPr>
      </w:pPr>
      <w:r w:rsidRPr="00B56D88">
        <w:rPr>
          <w:rFonts w:ascii="Arial" w:hAnsi="Arial" w:cs="Arial"/>
          <w:sz w:val="28"/>
          <w:szCs w:val="28"/>
        </w:rPr>
        <w:t>Decyzja</w:t>
      </w:r>
    </w:p>
    <w:bookmarkEnd w:id="1"/>
    <w:p w14:paraId="268ACDE7" w14:textId="726A34D8" w:rsidR="007F1BE6" w:rsidRPr="00B56D88" w:rsidRDefault="0089209F" w:rsidP="00B56D88">
      <w:pPr>
        <w:pStyle w:val="Nagwek"/>
        <w:tabs>
          <w:tab w:val="left" w:pos="708"/>
        </w:tabs>
        <w:spacing w:line="360" w:lineRule="auto"/>
        <w:rPr>
          <w:rFonts w:ascii="Arial" w:hAnsi="Arial" w:cs="Arial"/>
          <w:szCs w:val="24"/>
        </w:rPr>
      </w:pPr>
      <w:r w:rsidRPr="00B56D88">
        <w:rPr>
          <w:rFonts w:ascii="Arial" w:hAnsi="Arial" w:cs="Arial"/>
          <w:szCs w:val="24"/>
        </w:rPr>
        <w:t xml:space="preserve">Na </w:t>
      </w:r>
      <w:r w:rsidR="00B56D88" w:rsidRPr="00B56D88">
        <w:rPr>
          <w:rFonts w:ascii="Arial" w:hAnsi="Arial" w:cs="Arial"/>
          <w:szCs w:val="24"/>
          <w:lang w:val="pl-PL"/>
        </w:rPr>
        <w:t xml:space="preserve">podstawie art. 6 ust. 1 ustawy z dnia 9 maja 2014 r. o informowaniu o cenach towarów i usług (tekst jednolity: Dz. U. z 2019 r., poz. 178) oraz art. 104 § 1 ustawy z dnia 14 czerwca 1960 r.– Kodeks postępowania administracyjnego (tekst jednolity: Dz. U. z 2021 r. poz. 735 z </w:t>
      </w:r>
      <w:proofErr w:type="spellStart"/>
      <w:r w:rsidR="00B56D88" w:rsidRPr="00B56D88">
        <w:rPr>
          <w:rFonts w:ascii="Arial" w:hAnsi="Arial" w:cs="Arial"/>
          <w:szCs w:val="24"/>
          <w:lang w:val="pl-PL"/>
        </w:rPr>
        <w:t>późn</w:t>
      </w:r>
      <w:proofErr w:type="spellEnd"/>
      <w:r w:rsidR="00B56D88" w:rsidRPr="00B56D88">
        <w:rPr>
          <w:rFonts w:ascii="Arial" w:hAnsi="Arial" w:cs="Arial"/>
          <w:szCs w:val="24"/>
          <w:lang w:val="pl-PL"/>
        </w:rPr>
        <w:t>. zm.), po przeprowadzeniu postępowania administracyjnego wszczętego z urzędu</w:t>
      </w:r>
      <w:r w:rsidR="00065686" w:rsidRPr="00B56D88">
        <w:rPr>
          <w:rFonts w:ascii="Arial" w:hAnsi="Arial" w:cs="Arial"/>
          <w:szCs w:val="24"/>
          <w:lang w:val="pl-PL"/>
        </w:rPr>
        <w:t>,</w:t>
      </w:r>
    </w:p>
    <w:p w14:paraId="6DEFC71B" w14:textId="4A4FF0E5" w:rsidR="007F1BE6" w:rsidRPr="00B56D88" w:rsidRDefault="00774EB6" w:rsidP="00A14D51">
      <w:pPr>
        <w:pStyle w:val="Nagwek2"/>
      </w:pPr>
      <w:r w:rsidRPr="00B56D88">
        <w:t>Podkarpacki Wojewódzki Inspektor Inspekcji Handlowej wymierza</w:t>
      </w:r>
    </w:p>
    <w:p w14:paraId="7DB4A0DB" w14:textId="77777777" w:rsidR="00B56D88" w:rsidRPr="00B56D88" w:rsidRDefault="00774EB6" w:rsidP="00B56D88">
      <w:pPr>
        <w:pStyle w:val="Nagwek"/>
        <w:spacing w:line="360" w:lineRule="auto"/>
        <w:rPr>
          <w:rFonts w:ascii="Arial" w:hAnsi="Arial" w:cs="Arial"/>
          <w:szCs w:val="24"/>
          <w:lang w:val="pl-PL"/>
        </w:rPr>
      </w:pPr>
      <w:r w:rsidRPr="00B56D88">
        <w:rPr>
          <w:rFonts w:ascii="Arial" w:hAnsi="Arial" w:cs="Arial"/>
          <w:szCs w:val="24"/>
          <w:lang w:val="pl-PL"/>
        </w:rPr>
        <w:t xml:space="preserve">przedsiębiorcy – </w:t>
      </w:r>
      <w:r w:rsidR="00A14D51" w:rsidRPr="00B56D88">
        <w:rPr>
          <w:rFonts w:ascii="Arial" w:hAnsi="Arial" w:cs="Arial"/>
          <w:szCs w:val="24"/>
        </w:rPr>
        <w:t xml:space="preserve">Pani </w:t>
      </w:r>
      <w:bookmarkStart w:id="2" w:name="_Hlk115959811"/>
      <w:r w:rsidR="00B56D88" w:rsidRPr="00F6667F">
        <w:rPr>
          <w:rFonts w:ascii="Arial" w:hAnsi="Arial" w:cs="Arial"/>
          <w:b/>
          <w:bCs/>
          <w:szCs w:val="24"/>
          <w:lang w:val="pl-PL"/>
        </w:rPr>
        <w:t>(dane zanonimizowane)</w:t>
      </w:r>
      <w:bookmarkEnd w:id="2"/>
      <w:r w:rsidR="00B56D88" w:rsidRPr="00B56D88">
        <w:rPr>
          <w:rFonts w:ascii="Arial" w:hAnsi="Arial" w:cs="Arial"/>
          <w:szCs w:val="24"/>
          <w:lang w:val="pl-PL"/>
        </w:rPr>
        <w:t xml:space="preserve">, prowadzącej działalność gospodarczą pod firmą: </w:t>
      </w:r>
      <w:r w:rsidR="00B56D88" w:rsidRPr="00B56D88">
        <w:rPr>
          <w:rFonts w:ascii="Arial" w:hAnsi="Arial" w:cs="Arial"/>
          <w:b/>
          <w:bCs/>
          <w:szCs w:val="24"/>
          <w:lang w:val="pl-PL"/>
        </w:rPr>
        <w:t xml:space="preserve">Anna Pelc „ADS”, Małkowice (dane zanonimizowane) Orły – </w:t>
      </w:r>
      <w:r w:rsidR="00B56D88" w:rsidRPr="00B56D88">
        <w:rPr>
          <w:rFonts w:ascii="Arial" w:hAnsi="Arial" w:cs="Arial"/>
          <w:szCs w:val="24"/>
          <w:lang w:val="pl-PL"/>
        </w:rPr>
        <w:t>karę pieniężną w wysokości</w:t>
      </w:r>
      <w:r w:rsidR="00B56D88" w:rsidRPr="00B56D88">
        <w:rPr>
          <w:rFonts w:ascii="Arial" w:hAnsi="Arial" w:cs="Arial"/>
          <w:b/>
          <w:bCs/>
          <w:szCs w:val="24"/>
          <w:lang w:val="pl-PL"/>
        </w:rPr>
        <w:t xml:space="preserve"> 1000 zł (słownie: tysiąc złotych) </w:t>
      </w:r>
      <w:r w:rsidR="00B56D88" w:rsidRPr="00B56D88">
        <w:rPr>
          <w:rFonts w:ascii="Arial" w:hAnsi="Arial" w:cs="Arial"/>
          <w:szCs w:val="24"/>
          <w:lang w:val="pl-PL"/>
        </w:rPr>
        <w:t>za niewykonanie w miejscu sprzedaży detalicznej tj. w sklepie (dane zanonimizowane) należącym do ww. przedsiębiorcy, a zlokalizowanym w Radymnie przy ul. (dane zanonimizowane), wynikającego z art. 4 ust. 1 ustawy o informowaniu o cenach towarów i usług obowiązku uwidaczniania cen i cen jednostkowych w sposób jednoznaczny, niebudzący wątpliwości oraz umożliwiający ich porównanie dla łącznie 32 asortymentów poprzez:</w:t>
      </w:r>
    </w:p>
    <w:p w14:paraId="158BDC69" w14:textId="77777777" w:rsidR="00B56D88" w:rsidRPr="00B56D88" w:rsidRDefault="00B56D88" w:rsidP="00B56D88">
      <w:pPr>
        <w:pStyle w:val="Nagwek"/>
        <w:numPr>
          <w:ilvl w:val="0"/>
          <w:numId w:val="8"/>
        </w:numPr>
        <w:spacing w:line="360" w:lineRule="auto"/>
        <w:rPr>
          <w:rFonts w:ascii="Arial" w:hAnsi="Arial" w:cs="Arial"/>
          <w:b/>
          <w:bCs/>
          <w:szCs w:val="24"/>
          <w:lang w:val="pl-PL"/>
        </w:rPr>
      </w:pPr>
      <w:r w:rsidRPr="00B56D88">
        <w:rPr>
          <w:rFonts w:ascii="Arial" w:hAnsi="Arial" w:cs="Arial"/>
          <w:b/>
          <w:bCs/>
          <w:szCs w:val="24"/>
          <w:lang w:val="pl-PL"/>
        </w:rPr>
        <w:t>nieuwidocznienie cen i cen jednostkowych oraz nieuwidocznienie właściwych cen łącznie dla 20 produktów;</w:t>
      </w:r>
    </w:p>
    <w:p w14:paraId="576CF775" w14:textId="77777777" w:rsidR="00B56D88" w:rsidRPr="00B56D88" w:rsidRDefault="00B56D88" w:rsidP="004B2AFF">
      <w:pPr>
        <w:pStyle w:val="Nagwek"/>
        <w:numPr>
          <w:ilvl w:val="0"/>
          <w:numId w:val="8"/>
        </w:numPr>
        <w:spacing w:line="360" w:lineRule="auto"/>
        <w:rPr>
          <w:rFonts w:ascii="Arial" w:hAnsi="Arial" w:cs="Arial"/>
          <w:bCs/>
          <w:szCs w:val="24"/>
        </w:rPr>
      </w:pPr>
      <w:r w:rsidRPr="00B56D88">
        <w:rPr>
          <w:rFonts w:ascii="Arial" w:hAnsi="Arial" w:cs="Arial"/>
          <w:b/>
          <w:bCs/>
          <w:szCs w:val="24"/>
          <w:lang w:val="pl-PL"/>
        </w:rPr>
        <w:t>nieuwidocznienie cen jednostkowych łącznie dla 4 produktów oraz</w:t>
      </w:r>
    </w:p>
    <w:p w14:paraId="31430C92" w14:textId="28EE4229" w:rsidR="00774EB6" w:rsidRPr="00B56D88" w:rsidRDefault="00B56D88" w:rsidP="004B2AFF">
      <w:pPr>
        <w:pStyle w:val="Nagwek"/>
        <w:numPr>
          <w:ilvl w:val="0"/>
          <w:numId w:val="8"/>
        </w:numPr>
        <w:spacing w:line="360" w:lineRule="auto"/>
        <w:rPr>
          <w:rFonts w:ascii="Arial" w:hAnsi="Arial" w:cs="Arial"/>
          <w:bCs/>
          <w:szCs w:val="24"/>
        </w:rPr>
      </w:pPr>
      <w:r w:rsidRPr="00B56D88">
        <w:rPr>
          <w:rFonts w:ascii="Arial" w:hAnsi="Arial" w:cs="Arial"/>
          <w:b/>
          <w:bCs/>
          <w:szCs w:val="24"/>
          <w:lang w:val="pl-PL"/>
        </w:rPr>
        <w:t>nieuwidocznienie ceny jednostkowej wyliczonej w odniesieniu do masy netto po odcieku dla 8 produktów w stanie stałym znajdujących się w środku płynnym</w:t>
      </w:r>
      <w:r w:rsidR="00774EB6" w:rsidRPr="00B56D88">
        <w:rPr>
          <w:rFonts w:ascii="Arial" w:hAnsi="Arial" w:cs="Arial"/>
          <w:szCs w:val="24"/>
        </w:rPr>
        <w:t xml:space="preserve">. </w:t>
      </w:r>
    </w:p>
    <w:p w14:paraId="637F9D98" w14:textId="0ECE6F3E" w:rsidR="00D74C22" w:rsidRPr="00B56D88" w:rsidRDefault="00B65984" w:rsidP="00A14D51">
      <w:pPr>
        <w:pStyle w:val="Nagwek2"/>
      </w:pPr>
      <w:r w:rsidRPr="00B56D88">
        <w:t>Uzasadnienie</w:t>
      </w:r>
    </w:p>
    <w:p w14:paraId="396C3549" w14:textId="65C40A40" w:rsidR="00B56D88" w:rsidRPr="00B56D88" w:rsidRDefault="00D27EFC" w:rsidP="00B56D88">
      <w:pPr>
        <w:pStyle w:val="Nagwek"/>
        <w:spacing w:before="120" w:line="360" w:lineRule="auto"/>
        <w:rPr>
          <w:rFonts w:ascii="Arial" w:hAnsi="Arial" w:cs="Arial"/>
          <w:szCs w:val="24"/>
          <w:lang w:val="pl-PL"/>
        </w:rPr>
      </w:pPr>
      <w:r w:rsidRPr="00B56D88">
        <w:rPr>
          <w:rFonts w:ascii="Arial" w:hAnsi="Arial" w:cs="Arial"/>
          <w:szCs w:val="24"/>
        </w:rPr>
        <w:t xml:space="preserve">Na </w:t>
      </w:r>
      <w:r w:rsidR="00B56D88" w:rsidRPr="00B56D88">
        <w:rPr>
          <w:rFonts w:ascii="Arial" w:hAnsi="Arial" w:cs="Arial"/>
          <w:szCs w:val="24"/>
          <w:lang w:val="pl-PL"/>
        </w:rPr>
        <w:t xml:space="preserve">podstawie art. 3 ust. 1 pkt 1 i 6 ustawy z dnia 15 grudnia 2000 r. o Inspekcji Handlowej (tekst jednolity: Dz. U. z 2020 r., poz. 1706) oraz art. 4 ust. 1 ustawy z dnia 9 maja 2014 r. o informowaniu o cenach towarów i usług (tekst jednolity: Dz. U. z 2019 r., poz. 178) inspektorzy z Delegatury w Przemyślu Wojewódzkiego Inspektoratu Inspekcji Handlowej w Rzeszowie, przeprowadzili w dniach 14 i 19 </w:t>
      </w:r>
      <w:r w:rsidR="00B56D88" w:rsidRPr="00B56D88">
        <w:rPr>
          <w:rFonts w:ascii="Arial" w:hAnsi="Arial" w:cs="Arial"/>
          <w:szCs w:val="24"/>
          <w:lang w:val="pl-PL"/>
        </w:rPr>
        <w:lastRenderedPageBreak/>
        <w:t xml:space="preserve">stycznia 2022 r. kontrolę w sklepie </w:t>
      </w:r>
      <w:r w:rsidR="00B56D88" w:rsidRPr="00B56D88">
        <w:rPr>
          <w:rFonts w:ascii="Arial" w:hAnsi="Arial" w:cs="Arial"/>
          <w:b/>
          <w:bCs/>
          <w:szCs w:val="24"/>
          <w:lang w:val="pl-PL"/>
        </w:rPr>
        <w:t>(dane zanonimizowane)</w:t>
      </w:r>
      <w:r w:rsidR="00B56D88" w:rsidRPr="00B56D88">
        <w:rPr>
          <w:rFonts w:ascii="Arial" w:hAnsi="Arial" w:cs="Arial"/>
          <w:szCs w:val="24"/>
          <w:lang w:val="pl-PL"/>
        </w:rPr>
        <w:t>, zlokalizowanym przy ul. </w:t>
      </w:r>
      <w:r w:rsidR="00B56D88" w:rsidRPr="00B56D88">
        <w:rPr>
          <w:rFonts w:ascii="Arial" w:hAnsi="Arial" w:cs="Arial"/>
          <w:b/>
          <w:bCs/>
          <w:szCs w:val="24"/>
          <w:lang w:val="pl-PL"/>
        </w:rPr>
        <w:t xml:space="preserve">(dane zanonimizowane) </w:t>
      </w:r>
      <w:r w:rsidR="00B56D88" w:rsidRPr="00B56D88">
        <w:rPr>
          <w:rFonts w:ascii="Arial" w:hAnsi="Arial" w:cs="Arial"/>
          <w:szCs w:val="24"/>
          <w:lang w:val="pl-PL"/>
        </w:rPr>
        <w:t xml:space="preserve">w Radymnie, należącym do Pani </w:t>
      </w:r>
      <w:r w:rsidR="00B56D88" w:rsidRPr="00B56D88">
        <w:rPr>
          <w:rFonts w:ascii="Arial" w:hAnsi="Arial" w:cs="Arial"/>
          <w:b/>
          <w:bCs/>
          <w:szCs w:val="24"/>
          <w:lang w:val="pl-PL"/>
        </w:rPr>
        <w:t>(dane zanonimizowane)</w:t>
      </w:r>
      <w:r w:rsidR="00B56D88" w:rsidRPr="00B56D88">
        <w:rPr>
          <w:rFonts w:ascii="Arial" w:hAnsi="Arial" w:cs="Arial"/>
          <w:szCs w:val="24"/>
          <w:lang w:val="pl-PL"/>
        </w:rPr>
        <w:t xml:space="preserve">, prowadzącej działalność gospodarczą pod firmą: Anna Pelc „ADS”, Małkowice </w:t>
      </w:r>
      <w:r w:rsidR="00B56D88" w:rsidRPr="00B56D88">
        <w:rPr>
          <w:rFonts w:ascii="Arial" w:hAnsi="Arial" w:cs="Arial"/>
          <w:b/>
          <w:bCs/>
          <w:szCs w:val="24"/>
          <w:lang w:val="pl-PL"/>
        </w:rPr>
        <w:t xml:space="preserve">(dane zanonimizowane) </w:t>
      </w:r>
      <w:r w:rsidR="00B56D88" w:rsidRPr="00B56D88">
        <w:rPr>
          <w:rFonts w:ascii="Arial" w:hAnsi="Arial" w:cs="Arial"/>
          <w:szCs w:val="24"/>
          <w:lang w:val="pl-PL"/>
        </w:rPr>
        <w:t>Orły – zwaną dalej: „przedsiębiorcą”, „kontrolowaną” lub „stroną”.</w:t>
      </w:r>
    </w:p>
    <w:p w14:paraId="07450E22" w14:textId="0D0754BB" w:rsidR="00B56D88" w:rsidRPr="00B56D88" w:rsidRDefault="00B56D88" w:rsidP="00B56D88">
      <w:pPr>
        <w:pStyle w:val="Nagwek"/>
        <w:spacing w:before="120" w:line="360" w:lineRule="auto"/>
        <w:rPr>
          <w:rFonts w:ascii="Arial" w:hAnsi="Arial" w:cs="Arial"/>
          <w:szCs w:val="24"/>
          <w:lang w:val="pl-PL"/>
        </w:rPr>
      </w:pPr>
      <w:r w:rsidRPr="00B56D88">
        <w:rPr>
          <w:rFonts w:ascii="Arial" w:hAnsi="Arial" w:cs="Arial"/>
          <w:szCs w:val="24"/>
          <w:lang w:val="pl-PL"/>
        </w:rPr>
        <w:t xml:space="preserve">Kontrolę, zgodnie z art. 48 ust. 1 ustawy z dnia 6 marca 2018 r. Prawo przedsiębiorców (tekst jednolity: Dz. U. z 2021 r., poz. 162) poprzedzono skierowanym w dniu 15 grudnia 2021 r. do przedsiębiorcy Zawiadomieniem o zamiarze wszczęcia kontroli, sygnatura DP.8360.83.2021. Odbiór zawiadomienia kontrolowana osobiście pokwitowała tego samego dnia tj. 15 grudnia 2021 r. </w:t>
      </w:r>
    </w:p>
    <w:p w14:paraId="7F3BF54E" w14:textId="77777777" w:rsidR="00B56D88" w:rsidRPr="00B56D88" w:rsidRDefault="00B56D88" w:rsidP="00B56D88">
      <w:pPr>
        <w:pStyle w:val="Nagwek"/>
        <w:spacing w:before="120" w:line="360" w:lineRule="auto"/>
        <w:rPr>
          <w:rFonts w:ascii="Arial" w:hAnsi="Arial" w:cs="Arial"/>
          <w:szCs w:val="24"/>
          <w:lang w:val="pl-PL"/>
        </w:rPr>
      </w:pPr>
      <w:r w:rsidRPr="00B56D88">
        <w:rPr>
          <w:rFonts w:ascii="Arial" w:hAnsi="Arial" w:cs="Arial"/>
          <w:szCs w:val="24"/>
          <w:lang w:val="pl-PL"/>
        </w:rPr>
        <w:t>W trakcie kontroli sprawdzono m.in. przestrzeganie przez przedsiębiorcę obowiązku uwidaczniania cen oraz cen jednostkowych.</w:t>
      </w:r>
    </w:p>
    <w:p w14:paraId="3A3EB210" w14:textId="54F76D3F" w:rsidR="00B56D88" w:rsidRPr="00B56D88" w:rsidRDefault="00B56D88" w:rsidP="00B56D88">
      <w:pPr>
        <w:pStyle w:val="Nagwek"/>
        <w:spacing w:before="120" w:line="360" w:lineRule="auto"/>
        <w:rPr>
          <w:rFonts w:ascii="Arial" w:hAnsi="Arial" w:cs="Arial"/>
          <w:szCs w:val="24"/>
          <w:lang w:val="pl-PL"/>
        </w:rPr>
      </w:pPr>
      <w:r w:rsidRPr="00B56D88">
        <w:rPr>
          <w:rFonts w:ascii="Arial" w:hAnsi="Arial" w:cs="Arial"/>
          <w:szCs w:val="24"/>
          <w:lang w:val="pl-PL"/>
        </w:rPr>
        <w:t xml:space="preserve">W dniu 14 stycznia 2022 r. inspektorzy sprawdzili prawidłowość uwidaczniania informacji w powyższym zakresie dla </w:t>
      </w:r>
      <w:r w:rsidRPr="00B56D88">
        <w:rPr>
          <w:rFonts w:ascii="Arial" w:hAnsi="Arial" w:cs="Arial"/>
          <w:b/>
          <w:szCs w:val="24"/>
          <w:lang w:val="pl-PL"/>
        </w:rPr>
        <w:t>114 partii</w:t>
      </w:r>
      <w:r w:rsidRPr="00B56D88">
        <w:rPr>
          <w:rFonts w:ascii="Arial" w:hAnsi="Arial" w:cs="Arial"/>
          <w:szCs w:val="24"/>
          <w:lang w:val="pl-PL"/>
        </w:rPr>
        <w:t xml:space="preserve"> produktów wybranych z oferty handlowej, stwierdzając nieprawidłowości dające podstawę do wszczęcia postępowania administracyjnego przy </w:t>
      </w:r>
      <w:r w:rsidRPr="00B56D88">
        <w:rPr>
          <w:rFonts w:ascii="Arial" w:hAnsi="Arial" w:cs="Arial"/>
          <w:b/>
          <w:szCs w:val="24"/>
          <w:lang w:val="pl-PL"/>
        </w:rPr>
        <w:t>32</w:t>
      </w:r>
      <w:r w:rsidRPr="00B56D88">
        <w:rPr>
          <w:rFonts w:ascii="Arial" w:hAnsi="Arial" w:cs="Arial"/>
          <w:b/>
          <w:bCs/>
          <w:szCs w:val="24"/>
          <w:lang w:val="pl-PL"/>
        </w:rPr>
        <w:t xml:space="preserve"> </w:t>
      </w:r>
      <w:r w:rsidRPr="00B56D88">
        <w:rPr>
          <w:rFonts w:ascii="Arial" w:hAnsi="Arial" w:cs="Arial"/>
          <w:szCs w:val="24"/>
          <w:lang w:val="pl-PL"/>
        </w:rPr>
        <w:t>z nich tj.:</w:t>
      </w:r>
    </w:p>
    <w:p w14:paraId="372CCC9F" w14:textId="77777777" w:rsidR="00B56D88" w:rsidRPr="00B56D88" w:rsidRDefault="00B56D88" w:rsidP="00B56D88">
      <w:pPr>
        <w:pStyle w:val="Nagwek"/>
        <w:numPr>
          <w:ilvl w:val="0"/>
          <w:numId w:val="9"/>
        </w:numPr>
        <w:spacing w:before="120" w:line="360" w:lineRule="auto"/>
        <w:rPr>
          <w:rFonts w:ascii="Arial" w:hAnsi="Arial" w:cs="Arial"/>
          <w:szCs w:val="24"/>
          <w:lang w:val="pl-PL"/>
        </w:rPr>
      </w:pPr>
      <w:r w:rsidRPr="00B56D88">
        <w:rPr>
          <w:rFonts w:ascii="Arial" w:hAnsi="Arial" w:cs="Arial"/>
          <w:b/>
          <w:szCs w:val="24"/>
          <w:lang w:val="pl-PL"/>
        </w:rPr>
        <w:t xml:space="preserve">brak uwidocznienia cen i cen jednostkowych oraz brak właściwych cen łącznie dla 20 produktów pn.: </w:t>
      </w:r>
      <w:r w:rsidRPr="00B56D88">
        <w:rPr>
          <w:rFonts w:ascii="Arial" w:hAnsi="Arial" w:cs="Arial"/>
          <w:szCs w:val="24"/>
          <w:lang w:val="pl-PL"/>
        </w:rPr>
        <w:t xml:space="preserve">Sok 100% jabłko, malina, winogrona Bobo </w:t>
      </w:r>
      <w:proofErr w:type="spellStart"/>
      <w:r w:rsidRPr="00B56D88">
        <w:rPr>
          <w:rFonts w:ascii="Arial" w:hAnsi="Arial" w:cs="Arial"/>
          <w:szCs w:val="24"/>
          <w:lang w:val="pl-PL"/>
        </w:rPr>
        <w:t>Fruit</w:t>
      </w:r>
      <w:proofErr w:type="spellEnd"/>
      <w:r w:rsidRPr="00B56D88">
        <w:rPr>
          <w:rFonts w:ascii="Arial" w:hAnsi="Arial" w:cs="Arial"/>
          <w:szCs w:val="24"/>
          <w:lang w:val="pl-PL"/>
        </w:rPr>
        <w:t xml:space="preserve"> 300 ml; Orzeszki solone Beskidzkie 70 g; Cukier wanilinowy aromatyczny Delecta 15 g; Żurawina suszona Bakalie AGA </w:t>
      </w:r>
      <w:proofErr w:type="spellStart"/>
      <w:r w:rsidRPr="00B56D88">
        <w:rPr>
          <w:rFonts w:ascii="Arial" w:hAnsi="Arial" w:cs="Arial"/>
          <w:szCs w:val="24"/>
          <w:lang w:val="pl-PL"/>
        </w:rPr>
        <w:t>Holtex</w:t>
      </w:r>
      <w:proofErr w:type="spellEnd"/>
      <w:r w:rsidRPr="00B56D88">
        <w:rPr>
          <w:rFonts w:ascii="Arial" w:hAnsi="Arial" w:cs="Arial"/>
          <w:szCs w:val="24"/>
          <w:lang w:val="pl-PL"/>
        </w:rPr>
        <w:t xml:space="preserve"> 80 g; Migdały płatki Bakalie AGA </w:t>
      </w:r>
      <w:proofErr w:type="spellStart"/>
      <w:r w:rsidRPr="00B56D88">
        <w:rPr>
          <w:rFonts w:ascii="Arial" w:hAnsi="Arial" w:cs="Arial"/>
          <w:szCs w:val="24"/>
          <w:lang w:val="pl-PL"/>
        </w:rPr>
        <w:t>Holtex</w:t>
      </w:r>
      <w:proofErr w:type="spellEnd"/>
      <w:r w:rsidRPr="00B56D88">
        <w:rPr>
          <w:rFonts w:ascii="Arial" w:hAnsi="Arial" w:cs="Arial"/>
          <w:szCs w:val="24"/>
          <w:lang w:val="pl-PL"/>
        </w:rPr>
        <w:t xml:space="preserve"> 50 g; Napój mleczny o smaku bananowym </w:t>
      </w:r>
      <w:proofErr w:type="spellStart"/>
      <w:r w:rsidRPr="00B56D88">
        <w:rPr>
          <w:rFonts w:ascii="Arial" w:hAnsi="Arial" w:cs="Arial"/>
          <w:szCs w:val="24"/>
          <w:lang w:val="pl-PL"/>
        </w:rPr>
        <w:t>Müllermilch</w:t>
      </w:r>
      <w:proofErr w:type="spellEnd"/>
      <w:r w:rsidRPr="00B56D88">
        <w:rPr>
          <w:rFonts w:ascii="Arial" w:hAnsi="Arial" w:cs="Arial"/>
          <w:szCs w:val="24"/>
          <w:lang w:val="pl-PL"/>
        </w:rPr>
        <w:t xml:space="preserve"> 400 g/378 ml; Napój mleczny o smaku waniliowym </w:t>
      </w:r>
      <w:proofErr w:type="spellStart"/>
      <w:r w:rsidRPr="00B56D88">
        <w:rPr>
          <w:rFonts w:ascii="Arial" w:hAnsi="Arial" w:cs="Arial"/>
          <w:szCs w:val="24"/>
          <w:lang w:val="pl-PL"/>
        </w:rPr>
        <w:t>Müllermilch</w:t>
      </w:r>
      <w:proofErr w:type="spellEnd"/>
      <w:r w:rsidRPr="00B56D88">
        <w:rPr>
          <w:rFonts w:ascii="Arial" w:hAnsi="Arial" w:cs="Arial"/>
          <w:szCs w:val="24"/>
          <w:lang w:val="pl-PL"/>
        </w:rPr>
        <w:t xml:space="preserve"> 400 g/378 ml; Morele suszone Bakalie AGA </w:t>
      </w:r>
      <w:proofErr w:type="spellStart"/>
      <w:r w:rsidRPr="00B56D88">
        <w:rPr>
          <w:rFonts w:ascii="Arial" w:hAnsi="Arial" w:cs="Arial"/>
          <w:szCs w:val="24"/>
          <w:lang w:val="pl-PL"/>
        </w:rPr>
        <w:t>Holtex</w:t>
      </w:r>
      <w:proofErr w:type="spellEnd"/>
      <w:r w:rsidRPr="00B56D88">
        <w:rPr>
          <w:rFonts w:ascii="Arial" w:hAnsi="Arial" w:cs="Arial"/>
          <w:szCs w:val="24"/>
          <w:lang w:val="pl-PL"/>
        </w:rPr>
        <w:t xml:space="preserve"> 120 g; Sezam Bakalie AGA </w:t>
      </w:r>
      <w:proofErr w:type="spellStart"/>
      <w:r w:rsidRPr="00B56D88">
        <w:rPr>
          <w:rFonts w:ascii="Arial" w:hAnsi="Arial" w:cs="Arial"/>
          <w:szCs w:val="24"/>
          <w:lang w:val="pl-PL"/>
        </w:rPr>
        <w:t>Holtex</w:t>
      </w:r>
      <w:proofErr w:type="spellEnd"/>
      <w:r w:rsidRPr="00B56D88">
        <w:rPr>
          <w:rFonts w:ascii="Arial" w:hAnsi="Arial" w:cs="Arial"/>
          <w:szCs w:val="24"/>
          <w:lang w:val="pl-PL"/>
        </w:rPr>
        <w:t xml:space="preserve"> 90 g; Galaretka o smaku kiwi Dr. </w:t>
      </w:r>
      <w:proofErr w:type="spellStart"/>
      <w:r w:rsidRPr="00B56D88">
        <w:rPr>
          <w:rFonts w:ascii="Arial" w:hAnsi="Arial" w:cs="Arial"/>
          <w:szCs w:val="24"/>
          <w:lang w:val="pl-PL"/>
        </w:rPr>
        <w:t>Oetker</w:t>
      </w:r>
      <w:proofErr w:type="spellEnd"/>
      <w:r w:rsidRPr="00B56D88">
        <w:rPr>
          <w:rFonts w:ascii="Arial" w:hAnsi="Arial" w:cs="Arial"/>
          <w:szCs w:val="24"/>
          <w:lang w:val="pl-PL"/>
        </w:rPr>
        <w:t xml:space="preserve"> 77 g; Galaretka o smaku pomarańczowym Dr. </w:t>
      </w:r>
      <w:proofErr w:type="spellStart"/>
      <w:r w:rsidRPr="00B56D88">
        <w:rPr>
          <w:rFonts w:ascii="Arial" w:hAnsi="Arial" w:cs="Arial"/>
          <w:szCs w:val="24"/>
          <w:lang w:val="pl-PL"/>
        </w:rPr>
        <w:t>Oetker</w:t>
      </w:r>
      <w:proofErr w:type="spellEnd"/>
      <w:r w:rsidRPr="00B56D88">
        <w:rPr>
          <w:rFonts w:ascii="Arial" w:hAnsi="Arial" w:cs="Arial"/>
          <w:szCs w:val="24"/>
          <w:lang w:val="pl-PL"/>
        </w:rPr>
        <w:t xml:space="preserve"> 77 g; Galaretka o smaku malinowym Dr. </w:t>
      </w:r>
      <w:proofErr w:type="spellStart"/>
      <w:r w:rsidRPr="00B56D88">
        <w:rPr>
          <w:rFonts w:ascii="Arial" w:hAnsi="Arial" w:cs="Arial"/>
          <w:szCs w:val="24"/>
          <w:lang w:val="pl-PL"/>
        </w:rPr>
        <w:t>Oetker</w:t>
      </w:r>
      <w:proofErr w:type="spellEnd"/>
      <w:r w:rsidRPr="00B56D88">
        <w:rPr>
          <w:rFonts w:ascii="Arial" w:hAnsi="Arial" w:cs="Arial"/>
          <w:szCs w:val="24"/>
          <w:lang w:val="pl-PL"/>
        </w:rPr>
        <w:t xml:space="preserve"> 77 g; Galaretka o smaku truskawkowym Dr. </w:t>
      </w:r>
      <w:proofErr w:type="spellStart"/>
      <w:r w:rsidRPr="00B56D88">
        <w:rPr>
          <w:rFonts w:ascii="Arial" w:hAnsi="Arial" w:cs="Arial"/>
          <w:szCs w:val="24"/>
          <w:lang w:val="pl-PL"/>
        </w:rPr>
        <w:t>Oetker</w:t>
      </w:r>
      <w:proofErr w:type="spellEnd"/>
      <w:r w:rsidRPr="00B56D88">
        <w:rPr>
          <w:rFonts w:ascii="Arial" w:hAnsi="Arial" w:cs="Arial"/>
          <w:szCs w:val="24"/>
          <w:lang w:val="pl-PL"/>
        </w:rPr>
        <w:t xml:space="preserve"> 77 g; Galaretka o smaku agrestowym Dr. </w:t>
      </w:r>
      <w:proofErr w:type="spellStart"/>
      <w:r w:rsidRPr="00B56D88">
        <w:rPr>
          <w:rFonts w:ascii="Arial" w:hAnsi="Arial" w:cs="Arial"/>
          <w:szCs w:val="24"/>
          <w:lang w:val="pl-PL"/>
        </w:rPr>
        <w:t>Oetker</w:t>
      </w:r>
      <w:proofErr w:type="spellEnd"/>
      <w:r w:rsidRPr="00B56D88">
        <w:rPr>
          <w:rFonts w:ascii="Arial" w:hAnsi="Arial" w:cs="Arial"/>
          <w:szCs w:val="24"/>
          <w:lang w:val="pl-PL"/>
        </w:rPr>
        <w:t xml:space="preserve"> 77 g; Jogurt pitny typu islandzkiego wanilia </w:t>
      </w:r>
      <w:proofErr w:type="spellStart"/>
      <w:r w:rsidRPr="00B56D88">
        <w:rPr>
          <w:rFonts w:ascii="Arial" w:hAnsi="Arial" w:cs="Arial"/>
          <w:szCs w:val="24"/>
          <w:lang w:val="pl-PL"/>
        </w:rPr>
        <w:t>Skyr</w:t>
      </w:r>
      <w:proofErr w:type="spellEnd"/>
      <w:r w:rsidRPr="00B56D88">
        <w:rPr>
          <w:rFonts w:ascii="Arial" w:hAnsi="Arial" w:cs="Arial"/>
          <w:szCs w:val="24"/>
          <w:lang w:val="pl-PL"/>
        </w:rPr>
        <w:t xml:space="preserve"> Piątnica 330 ml/350 g; Jogurt pitny typu islandzkiego truskawka </w:t>
      </w:r>
      <w:proofErr w:type="spellStart"/>
      <w:r w:rsidRPr="00B56D88">
        <w:rPr>
          <w:rFonts w:ascii="Arial" w:hAnsi="Arial" w:cs="Arial"/>
          <w:szCs w:val="24"/>
          <w:lang w:val="pl-PL"/>
        </w:rPr>
        <w:t>Skyr</w:t>
      </w:r>
      <w:proofErr w:type="spellEnd"/>
      <w:r w:rsidRPr="00B56D88">
        <w:rPr>
          <w:rFonts w:ascii="Arial" w:hAnsi="Arial" w:cs="Arial"/>
          <w:szCs w:val="24"/>
          <w:lang w:val="pl-PL"/>
        </w:rPr>
        <w:t xml:space="preserve"> Piątnica 330 ml/350 g; Aromat waniliowy Dr. </w:t>
      </w:r>
      <w:proofErr w:type="spellStart"/>
      <w:r w:rsidRPr="00B56D88">
        <w:rPr>
          <w:rFonts w:ascii="Arial" w:hAnsi="Arial" w:cs="Arial"/>
          <w:szCs w:val="24"/>
          <w:lang w:val="pl-PL"/>
        </w:rPr>
        <w:t>Oetker</w:t>
      </w:r>
      <w:proofErr w:type="spellEnd"/>
      <w:r w:rsidRPr="00B56D88">
        <w:rPr>
          <w:rFonts w:ascii="Arial" w:hAnsi="Arial" w:cs="Arial"/>
          <w:szCs w:val="24"/>
          <w:lang w:val="pl-PL"/>
        </w:rPr>
        <w:t xml:space="preserve"> 9 ml; Aromat migdałowy Dr. </w:t>
      </w:r>
      <w:proofErr w:type="spellStart"/>
      <w:r w:rsidRPr="00B56D88">
        <w:rPr>
          <w:rFonts w:ascii="Arial" w:hAnsi="Arial" w:cs="Arial"/>
          <w:szCs w:val="24"/>
          <w:lang w:val="pl-PL"/>
        </w:rPr>
        <w:t>Oetker</w:t>
      </w:r>
      <w:proofErr w:type="spellEnd"/>
      <w:r w:rsidRPr="00B56D88">
        <w:rPr>
          <w:rFonts w:ascii="Arial" w:hAnsi="Arial" w:cs="Arial"/>
          <w:szCs w:val="24"/>
          <w:lang w:val="pl-PL"/>
        </w:rPr>
        <w:t xml:space="preserve"> 9 ml; Aromat pomarańczowy Dr. </w:t>
      </w:r>
      <w:proofErr w:type="spellStart"/>
      <w:r w:rsidRPr="00B56D88">
        <w:rPr>
          <w:rFonts w:ascii="Arial" w:hAnsi="Arial" w:cs="Arial"/>
          <w:szCs w:val="24"/>
          <w:lang w:val="pl-PL"/>
        </w:rPr>
        <w:t>Oetker</w:t>
      </w:r>
      <w:proofErr w:type="spellEnd"/>
      <w:r w:rsidRPr="00B56D88">
        <w:rPr>
          <w:rFonts w:ascii="Arial" w:hAnsi="Arial" w:cs="Arial"/>
          <w:szCs w:val="24"/>
          <w:lang w:val="pl-PL"/>
        </w:rPr>
        <w:t xml:space="preserve"> 9 ml; Aromat cytrynowy Dr. </w:t>
      </w:r>
      <w:proofErr w:type="spellStart"/>
      <w:r w:rsidRPr="00B56D88">
        <w:rPr>
          <w:rFonts w:ascii="Arial" w:hAnsi="Arial" w:cs="Arial"/>
          <w:szCs w:val="24"/>
          <w:lang w:val="pl-PL"/>
        </w:rPr>
        <w:t>Oetker</w:t>
      </w:r>
      <w:proofErr w:type="spellEnd"/>
      <w:r w:rsidRPr="00B56D88">
        <w:rPr>
          <w:rFonts w:ascii="Arial" w:hAnsi="Arial" w:cs="Arial"/>
          <w:szCs w:val="24"/>
          <w:lang w:val="pl-PL"/>
        </w:rPr>
        <w:t xml:space="preserve"> 9 ml,</w:t>
      </w:r>
    </w:p>
    <w:p w14:paraId="06097935" w14:textId="712BC4E1" w:rsidR="00B56D88" w:rsidRPr="00B56D88" w:rsidRDefault="00B56D88" w:rsidP="00B56D88">
      <w:pPr>
        <w:pStyle w:val="Nagwek"/>
        <w:spacing w:before="120" w:line="360" w:lineRule="auto"/>
        <w:ind w:left="340"/>
        <w:rPr>
          <w:rFonts w:ascii="Arial" w:hAnsi="Arial" w:cs="Arial"/>
          <w:szCs w:val="24"/>
          <w:lang w:val="pl-PL"/>
        </w:rPr>
      </w:pPr>
      <w:r w:rsidRPr="00B56D88">
        <w:rPr>
          <w:rFonts w:ascii="Arial" w:hAnsi="Arial" w:cs="Arial"/>
          <w:szCs w:val="24"/>
          <w:lang w:val="pl-PL"/>
        </w:rPr>
        <w:t xml:space="preserve">co narusza art. 4 ust. 1 ustawy z dnia 9 maja 2014 r. o informowaniu o cenach towarów i usług (tekst jednolity: Dz. U. z 2019 r., poz. 178) – zwanej dalej </w:t>
      </w:r>
      <w:r w:rsidRPr="00B56D88">
        <w:rPr>
          <w:rFonts w:ascii="Arial" w:hAnsi="Arial" w:cs="Arial"/>
          <w:szCs w:val="24"/>
          <w:lang w:val="pl-PL"/>
        </w:rPr>
        <w:lastRenderedPageBreak/>
        <w:t>„ustawą” – oraz § 3 rozporządzenia Ministra Rozwoju z dnia 9 grudnia 2015 r. w sprawie uwidaczniania cen towarów i usług (Dz. U. z 2015 r., poz. 2121) – zwanego dalej „rozporządzeniem”;</w:t>
      </w:r>
    </w:p>
    <w:p w14:paraId="65D153EA" w14:textId="77777777" w:rsidR="00B56D88" w:rsidRPr="00B56D88" w:rsidRDefault="00B56D88" w:rsidP="00B56D88">
      <w:pPr>
        <w:pStyle w:val="Nagwek"/>
        <w:numPr>
          <w:ilvl w:val="0"/>
          <w:numId w:val="9"/>
        </w:numPr>
        <w:spacing w:before="120" w:line="360" w:lineRule="auto"/>
        <w:rPr>
          <w:rFonts w:ascii="Arial" w:hAnsi="Arial" w:cs="Arial"/>
          <w:szCs w:val="24"/>
          <w:lang w:val="pl-PL"/>
        </w:rPr>
      </w:pPr>
      <w:r w:rsidRPr="00B56D88">
        <w:rPr>
          <w:rFonts w:ascii="Arial" w:hAnsi="Arial" w:cs="Arial"/>
          <w:b/>
          <w:szCs w:val="24"/>
          <w:lang w:val="pl-PL"/>
        </w:rPr>
        <w:t xml:space="preserve">brak podania cen jednostkowych łącznie dla 4 produktów pn.: </w:t>
      </w:r>
      <w:r w:rsidRPr="00B56D88">
        <w:rPr>
          <w:rFonts w:ascii="Arial" w:hAnsi="Arial" w:cs="Arial"/>
          <w:szCs w:val="24"/>
          <w:lang w:val="pl-PL"/>
        </w:rPr>
        <w:t xml:space="preserve">Wino musujące </w:t>
      </w:r>
      <w:proofErr w:type="spellStart"/>
      <w:r w:rsidRPr="00B56D88">
        <w:rPr>
          <w:rFonts w:ascii="Arial" w:hAnsi="Arial" w:cs="Arial"/>
          <w:szCs w:val="24"/>
          <w:lang w:val="pl-PL"/>
        </w:rPr>
        <w:t>Sovietskoje</w:t>
      </w:r>
      <w:proofErr w:type="spellEnd"/>
      <w:r w:rsidRPr="00B56D88">
        <w:rPr>
          <w:rFonts w:ascii="Arial" w:hAnsi="Arial" w:cs="Arial"/>
          <w:szCs w:val="24"/>
          <w:lang w:val="pl-PL"/>
        </w:rPr>
        <w:t xml:space="preserve"> 700 ml; Napój gazowany Pepsi 2 l; Piwo Harnaś butelka 500 ml; Piwo </w:t>
      </w:r>
      <w:proofErr w:type="spellStart"/>
      <w:r w:rsidRPr="00B56D88">
        <w:rPr>
          <w:rFonts w:ascii="Arial" w:hAnsi="Arial" w:cs="Arial"/>
          <w:szCs w:val="24"/>
          <w:lang w:val="pl-PL"/>
        </w:rPr>
        <w:t>Zatecky</w:t>
      </w:r>
      <w:proofErr w:type="spellEnd"/>
      <w:r w:rsidRPr="00B56D88">
        <w:rPr>
          <w:rFonts w:ascii="Arial" w:hAnsi="Arial" w:cs="Arial"/>
          <w:szCs w:val="24"/>
          <w:lang w:val="pl-PL"/>
        </w:rPr>
        <w:t xml:space="preserve"> </w:t>
      </w:r>
      <w:proofErr w:type="spellStart"/>
      <w:r w:rsidRPr="00B56D88">
        <w:rPr>
          <w:rFonts w:ascii="Arial" w:hAnsi="Arial" w:cs="Arial"/>
          <w:szCs w:val="24"/>
          <w:lang w:val="pl-PL"/>
        </w:rPr>
        <w:t>Svetly</w:t>
      </w:r>
      <w:proofErr w:type="spellEnd"/>
      <w:r w:rsidRPr="00B56D88">
        <w:rPr>
          <w:rFonts w:ascii="Arial" w:hAnsi="Arial" w:cs="Arial"/>
          <w:szCs w:val="24"/>
          <w:lang w:val="pl-PL"/>
        </w:rPr>
        <w:t xml:space="preserve"> </w:t>
      </w:r>
      <w:proofErr w:type="spellStart"/>
      <w:r w:rsidRPr="00B56D88">
        <w:rPr>
          <w:rFonts w:ascii="Arial" w:hAnsi="Arial" w:cs="Arial"/>
          <w:szCs w:val="24"/>
          <w:lang w:val="pl-PL"/>
        </w:rPr>
        <w:t>Lezak</w:t>
      </w:r>
      <w:proofErr w:type="spellEnd"/>
      <w:r w:rsidRPr="00B56D88">
        <w:rPr>
          <w:rFonts w:ascii="Arial" w:hAnsi="Arial" w:cs="Arial"/>
          <w:szCs w:val="24"/>
          <w:lang w:val="pl-PL"/>
        </w:rPr>
        <w:t xml:space="preserve"> butelka 500 ml,</w:t>
      </w:r>
    </w:p>
    <w:p w14:paraId="02304A5B" w14:textId="11EA5526" w:rsidR="00B56D88" w:rsidRPr="00B56D88" w:rsidRDefault="00B56D88" w:rsidP="00B56D88">
      <w:pPr>
        <w:pStyle w:val="Nagwek"/>
        <w:spacing w:before="120" w:line="360" w:lineRule="auto"/>
        <w:ind w:left="340"/>
        <w:rPr>
          <w:rFonts w:ascii="Arial" w:hAnsi="Arial" w:cs="Arial"/>
          <w:szCs w:val="24"/>
          <w:lang w:val="pl-PL"/>
        </w:rPr>
      </w:pPr>
      <w:r w:rsidRPr="00B56D88">
        <w:rPr>
          <w:rFonts w:ascii="Arial" w:hAnsi="Arial" w:cs="Arial"/>
          <w:bCs/>
          <w:szCs w:val="24"/>
          <w:lang w:val="pl-PL"/>
        </w:rPr>
        <w:t>co narusza</w:t>
      </w:r>
      <w:r w:rsidRPr="00B56D88">
        <w:rPr>
          <w:rFonts w:ascii="Arial" w:hAnsi="Arial" w:cs="Arial"/>
          <w:szCs w:val="24"/>
          <w:lang w:val="pl-PL"/>
        </w:rPr>
        <w:t xml:space="preserve"> art. 4 ust. 1 ustawy oraz § 3 ust. 2 rozporządzenia.</w:t>
      </w:r>
    </w:p>
    <w:p w14:paraId="0654671E" w14:textId="77777777" w:rsidR="00B56D88" w:rsidRPr="00B56D88" w:rsidRDefault="00B56D88" w:rsidP="00B56D88">
      <w:pPr>
        <w:pStyle w:val="Nagwek"/>
        <w:numPr>
          <w:ilvl w:val="0"/>
          <w:numId w:val="9"/>
        </w:numPr>
        <w:spacing w:before="120" w:line="360" w:lineRule="auto"/>
        <w:rPr>
          <w:rFonts w:ascii="Arial" w:hAnsi="Arial" w:cs="Arial"/>
          <w:szCs w:val="24"/>
          <w:lang w:val="pl-PL"/>
        </w:rPr>
      </w:pPr>
      <w:r w:rsidRPr="00B56D88">
        <w:rPr>
          <w:rFonts w:ascii="Arial" w:hAnsi="Arial" w:cs="Arial"/>
          <w:b/>
          <w:bCs/>
          <w:szCs w:val="24"/>
          <w:lang w:val="pl-PL"/>
        </w:rPr>
        <w:t xml:space="preserve">brak właściwej ceny jednostkowej </w:t>
      </w:r>
      <w:r w:rsidRPr="00B56D88">
        <w:rPr>
          <w:rFonts w:ascii="Arial" w:hAnsi="Arial" w:cs="Arial"/>
          <w:b/>
          <w:szCs w:val="24"/>
          <w:lang w:val="pl-PL"/>
        </w:rPr>
        <w:t>wyliczonej w odniesieniu do masy netto po odcieku dla 8 produktów w stanie stałym znajdujących się w środku płynnym pn.:</w:t>
      </w:r>
      <w:r w:rsidRPr="00B56D88">
        <w:rPr>
          <w:rFonts w:ascii="Arial" w:hAnsi="Arial" w:cs="Arial"/>
          <w:szCs w:val="24"/>
          <w:lang w:val="pl-PL"/>
        </w:rPr>
        <w:t xml:space="preserve"> Kukurydza złocista </w:t>
      </w:r>
      <w:proofErr w:type="spellStart"/>
      <w:r w:rsidRPr="00B56D88">
        <w:rPr>
          <w:rFonts w:ascii="Arial" w:hAnsi="Arial" w:cs="Arial"/>
          <w:szCs w:val="24"/>
          <w:lang w:val="pl-PL"/>
        </w:rPr>
        <w:t>Bonduelle</w:t>
      </w:r>
      <w:proofErr w:type="spellEnd"/>
      <w:r w:rsidRPr="00B56D88">
        <w:rPr>
          <w:rFonts w:ascii="Arial" w:hAnsi="Arial" w:cs="Arial"/>
          <w:szCs w:val="24"/>
          <w:lang w:val="pl-PL"/>
        </w:rPr>
        <w:t xml:space="preserve"> 425 ml/340 g/285 g; Ananas plastry Kier 565 g/340 g; Brzoskwinie w syropie Kier 820 g/480 g; Fasola biała </w:t>
      </w:r>
      <w:proofErr w:type="spellStart"/>
      <w:r w:rsidRPr="00B56D88">
        <w:rPr>
          <w:rFonts w:ascii="Arial" w:hAnsi="Arial" w:cs="Arial"/>
          <w:szCs w:val="24"/>
          <w:lang w:val="pl-PL"/>
        </w:rPr>
        <w:t>Dawtona</w:t>
      </w:r>
      <w:proofErr w:type="spellEnd"/>
      <w:r w:rsidRPr="00B56D88">
        <w:rPr>
          <w:rFonts w:ascii="Arial" w:hAnsi="Arial" w:cs="Arial"/>
          <w:szCs w:val="24"/>
          <w:lang w:val="pl-PL"/>
        </w:rPr>
        <w:t xml:space="preserve"> 400 ml/400 g/240 g; Kukurydza konserwowa Pudliszki 400 g/220 g; Seler sałatkowy </w:t>
      </w:r>
      <w:proofErr w:type="spellStart"/>
      <w:r w:rsidRPr="00B56D88">
        <w:rPr>
          <w:rFonts w:ascii="Arial" w:hAnsi="Arial" w:cs="Arial"/>
          <w:szCs w:val="24"/>
          <w:lang w:val="pl-PL"/>
        </w:rPr>
        <w:t>Vortumnus</w:t>
      </w:r>
      <w:proofErr w:type="spellEnd"/>
      <w:r w:rsidRPr="00B56D88">
        <w:rPr>
          <w:rFonts w:ascii="Arial" w:hAnsi="Arial" w:cs="Arial"/>
          <w:szCs w:val="24"/>
          <w:lang w:val="pl-PL"/>
        </w:rPr>
        <w:t xml:space="preserve"> 840 g/460 g; Sałatka z zielonymi pomidorami KLIMEX 460 g/280 g; Pieczarki marynowane </w:t>
      </w:r>
      <w:proofErr w:type="spellStart"/>
      <w:r w:rsidRPr="00B56D88">
        <w:rPr>
          <w:rFonts w:ascii="Arial" w:hAnsi="Arial" w:cs="Arial"/>
          <w:szCs w:val="24"/>
          <w:lang w:val="pl-PL"/>
        </w:rPr>
        <w:t>Bonduelle</w:t>
      </w:r>
      <w:proofErr w:type="spellEnd"/>
      <w:r w:rsidRPr="00B56D88">
        <w:rPr>
          <w:rFonts w:ascii="Arial" w:hAnsi="Arial" w:cs="Arial"/>
          <w:szCs w:val="24"/>
          <w:lang w:val="pl-PL"/>
        </w:rPr>
        <w:t xml:space="preserve"> 314 ml/280 g/165 g, </w:t>
      </w:r>
    </w:p>
    <w:p w14:paraId="6F42459E" w14:textId="40368335" w:rsidR="00B56D88" w:rsidRPr="00B56D88" w:rsidRDefault="00B56D88" w:rsidP="00B56D88">
      <w:pPr>
        <w:pStyle w:val="Nagwek"/>
        <w:spacing w:before="120" w:line="360" w:lineRule="auto"/>
        <w:ind w:left="340"/>
        <w:rPr>
          <w:rFonts w:ascii="Arial" w:hAnsi="Arial" w:cs="Arial"/>
          <w:szCs w:val="24"/>
          <w:lang w:val="pl-PL"/>
        </w:rPr>
      </w:pPr>
      <w:r w:rsidRPr="00B56D88">
        <w:rPr>
          <w:rFonts w:ascii="Arial" w:hAnsi="Arial" w:cs="Arial"/>
          <w:bCs/>
          <w:szCs w:val="24"/>
          <w:lang w:val="pl-PL"/>
        </w:rPr>
        <w:t>co narusza</w:t>
      </w:r>
      <w:r w:rsidRPr="00B56D88">
        <w:rPr>
          <w:rFonts w:ascii="Arial" w:hAnsi="Arial" w:cs="Arial"/>
          <w:szCs w:val="24"/>
          <w:lang w:val="pl-PL"/>
        </w:rPr>
        <w:t xml:space="preserve"> art. 4 ust. 1 ustawy oraz § 3 ust. 2 i § 6 rozporządzenia.</w:t>
      </w:r>
    </w:p>
    <w:p w14:paraId="5C75A580" w14:textId="77777777" w:rsidR="00B56D88" w:rsidRPr="00B56D88" w:rsidRDefault="00B56D88" w:rsidP="00B56D88">
      <w:pPr>
        <w:pStyle w:val="Nagwek"/>
        <w:spacing w:before="120" w:line="360" w:lineRule="auto"/>
        <w:rPr>
          <w:rFonts w:ascii="Arial" w:hAnsi="Arial" w:cs="Arial"/>
          <w:szCs w:val="24"/>
          <w:lang w:val="pl-PL"/>
        </w:rPr>
      </w:pPr>
      <w:r w:rsidRPr="00B56D88">
        <w:rPr>
          <w:rFonts w:ascii="Arial" w:hAnsi="Arial" w:cs="Arial"/>
          <w:szCs w:val="24"/>
          <w:lang w:val="pl-PL"/>
        </w:rPr>
        <w:t>W trakcie kontroli osoba upoważniona oświadczyła, że nieprawidłowości w zakresie uwidaczniania cen wynikają z przeoczenia, pośpiechu i absencji pracowników. Nieprawidłowości zostały wyeliminowane niezwłocznie w trakcie trwania kontroli.</w:t>
      </w:r>
    </w:p>
    <w:p w14:paraId="285AF6F1" w14:textId="77777777" w:rsidR="00B56D88" w:rsidRPr="00B56D88" w:rsidRDefault="00B56D88" w:rsidP="00B56D88">
      <w:pPr>
        <w:pStyle w:val="Nagwek"/>
        <w:spacing w:before="120" w:line="360" w:lineRule="auto"/>
        <w:rPr>
          <w:rFonts w:ascii="Arial" w:hAnsi="Arial" w:cs="Arial"/>
          <w:szCs w:val="24"/>
          <w:lang w:val="pl-PL"/>
        </w:rPr>
      </w:pPr>
      <w:r w:rsidRPr="00B56D88">
        <w:rPr>
          <w:rFonts w:ascii="Arial" w:hAnsi="Arial" w:cs="Arial"/>
          <w:szCs w:val="24"/>
          <w:lang w:val="pl-PL"/>
        </w:rPr>
        <w:t>Powyższe ustalenia udokumentowano w protokole kontroli DP.8361.1.2022 z dnia 14 stycznia 2022 r. wraz z załącznikami, w tym m.in. fotografiami produktów zakwestionowanych w zakresie uwidaczniania cen oraz oświadczeniem osoby upoważnionej. Uwag do protokołu nie wnoszono.</w:t>
      </w:r>
    </w:p>
    <w:p w14:paraId="44C0546A" w14:textId="641D425D" w:rsidR="00B56D88" w:rsidRPr="00B56D88" w:rsidRDefault="00B56D88" w:rsidP="00B56D88">
      <w:pPr>
        <w:pStyle w:val="Nagwek"/>
        <w:spacing w:before="120" w:line="360" w:lineRule="auto"/>
        <w:rPr>
          <w:rFonts w:ascii="Arial" w:hAnsi="Arial" w:cs="Arial"/>
          <w:szCs w:val="24"/>
          <w:lang w:val="pl-PL"/>
        </w:rPr>
      </w:pPr>
      <w:r w:rsidRPr="00B56D88">
        <w:rPr>
          <w:rFonts w:ascii="Arial" w:hAnsi="Arial" w:cs="Arial"/>
          <w:szCs w:val="24"/>
          <w:lang w:val="pl-PL"/>
        </w:rPr>
        <w:t>W związku z powyższymi ustaleniami, pismem z dnia 9 marca 2022 r. Podkarpacki Wojewódzki Inspektor Inspekcji Handlowej zawiadomił stronę o wszczęciu z urzędu postepowania trybie art. 6 ust. 1 ustawy.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217350AF" w14:textId="77777777" w:rsidR="00B56D88" w:rsidRPr="00B56D88" w:rsidRDefault="00B56D88" w:rsidP="00B56D88">
      <w:pPr>
        <w:pStyle w:val="Nagwek"/>
        <w:spacing w:before="120" w:line="360" w:lineRule="auto"/>
        <w:rPr>
          <w:rFonts w:ascii="Arial" w:hAnsi="Arial" w:cs="Arial"/>
          <w:szCs w:val="24"/>
          <w:lang w:val="pl-PL"/>
        </w:rPr>
      </w:pPr>
      <w:r w:rsidRPr="00B56D88">
        <w:rPr>
          <w:rFonts w:ascii="Arial" w:hAnsi="Arial" w:cs="Arial"/>
          <w:szCs w:val="24"/>
          <w:lang w:val="pl-PL"/>
        </w:rPr>
        <w:lastRenderedPageBreak/>
        <w:t>W dniu 8 kwietnia 2022 r. przedsiębiorcę zawiadomiono o niezałatwieniu sprawy w terminie z uwagi na brak przekazania przez stronę wymaganych danych w zakresie wielkości obrotów i przychodu za 2021 r. Nadto, stronę ponownie wezwano do przedłożenia stosownej dokumentacji oraz wyznaczono nowy termin załatwienia sprawy.</w:t>
      </w:r>
    </w:p>
    <w:p w14:paraId="4111ACA1" w14:textId="5FEB0BCF" w:rsidR="00F64E33" w:rsidRPr="00B56D88" w:rsidRDefault="00B56D88" w:rsidP="00B56D88">
      <w:pPr>
        <w:pStyle w:val="Nagwek"/>
        <w:spacing w:before="120" w:line="360" w:lineRule="auto"/>
        <w:rPr>
          <w:rFonts w:ascii="Arial" w:hAnsi="Arial" w:cs="Arial"/>
          <w:szCs w:val="24"/>
          <w:lang w:val="pl-PL"/>
        </w:rPr>
      </w:pPr>
      <w:r w:rsidRPr="00B56D88">
        <w:rPr>
          <w:rFonts w:ascii="Arial" w:hAnsi="Arial" w:cs="Arial"/>
          <w:szCs w:val="24"/>
          <w:lang w:val="pl-PL"/>
        </w:rPr>
        <w:t>W dniu 2 maja 2022 r. do Delegatury w Przemyślu wpłynęło pismo wskazujące przychód oraz obrót przedsiębiorcy za rok 2021</w:t>
      </w:r>
      <w:r w:rsidR="00F64E33" w:rsidRPr="00B56D88">
        <w:rPr>
          <w:rFonts w:ascii="Arial" w:hAnsi="Arial" w:cs="Arial"/>
          <w:szCs w:val="24"/>
          <w:lang w:val="pl-PL"/>
        </w:rPr>
        <w:t>.</w:t>
      </w:r>
    </w:p>
    <w:p w14:paraId="048832BA" w14:textId="1D7C2403" w:rsidR="00A96E78" w:rsidRPr="00B56D88" w:rsidRDefault="00F64E33" w:rsidP="00A14D51">
      <w:pPr>
        <w:pStyle w:val="Nagwek2"/>
      </w:pPr>
      <w:r w:rsidRPr="00B56D88">
        <w:t>Podkarpacki Wojewódzki Inspektor Inspekcji Handlowej ustalił i stwierdził, co następuje</w:t>
      </w:r>
      <w:r w:rsidR="0051739C" w:rsidRPr="00B56D88">
        <w:t>:</w:t>
      </w:r>
    </w:p>
    <w:p w14:paraId="0F71066D" w14:textId="60490438" w:rsidR="00B56D88" w:rsidRPr="00B56D88" w:rsidRDefault="0057018B" w:rsidP="00B56D88">
      <w:pPr>
        <w:spacing w:after="120" w:line="360" w:lineRule="auto"/>
        <w:rPr>
          <w:rFonts w:ascii="Arial" w:hAnsi="Arial" w:cs="Arial"/>
          <w:szCs w:val="28"/>
        </w:rPr>
      </w:pPr>
      <w:r w:rsidRPr="00B56D88">
        <w:rPr>
          <w:rFonts w:ascii="Arial" w:hAnsi="Arial" w:cs="Arial"/>
          <w:szCs w:val="28"/>
        </w:rPr>
        <w:t xml:space="preserve">Zgodnie </w:t>
      </w:r>
      <w:r w:rsidR="00B56D88" w:rsidRPr="00B56D88">
        <w:rPr>
          <w:rFonts w:ascii="Arial" w:hAnsi="Arial" w:cs="Arial"/>
          <w:szCs w:val="28"/>
        </w:rPr>
        <w:t>z art. 6 ust. 1 ustawy karę pieniężną na przedsiębiorcę, który nie wykonuje obowiązku uwidaczniania cen w miejscu sprzedaży detalicznej nakłada wojewódzki inspektor Inspekcji Handlowej. W związku z tym, że naruszenie miało miejsce w sklepie w Radymnie (woj. podkarpackie), w którym prowadzona jest sprzedaż detaliczna, właściwym do prowadzenia postępowania i nałożenia kary jest Podkarpacki Wojewódzki Inspektor Inspekcji Handlowej.</w:t>
      </w:r>
    </w:p>
    <w:p w14:paraId="7E103366"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4E90CBE9"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 xml:space="preserve">Zgodnie z art. 4 ust. 1 ustawy w miejscu sprzedaży detalicznej i świadczenia usług uwidacznia się cenę oraz cenę jednostkową towaru (usługi) w sposób jednoznaczny, niebudzący wątpliwości oraz umożliwiający porównanie cen. </w:t>
      </w:r>
    </w:p>
    <w:p w14:paraId="23EB8D3A"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Pod pojęciem ceny ustawa rozumie wartość wyrażoną w jednostkach pieniężnych, którą kupujący jest obowiązany zapłacić przedsiębiorcy za towar lub usługę (art. 3 ust. 1 pkt 1 ustawy).</w:t>
      </w:r>
    </w:p>
    <w:p w14:paraId="1E95ACE9"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lastRenderedPageBreak/>
        <w:t xml:space="preserve">Cena jednostkowa towaru (usługi) to cena ustalona za jednostkę określonego towaru (usługi), którego ilość lub liczba jest wyrażona w jednostkach miar w rozumieniu przepisów o miarach (art. 3 ust. 1 pkt 2 ustawy). </w:t>
      </w:r>
    </w:p>
    <w:p w14:paraId="6F171B04"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Zgodnie z wydanym na podstawie art. 4 ust. 2 ustawy</w:t>
      </w:r>
      <w:r w:rsidRPr="00B56D88">
        <w:rPr>
          <w:rFonts w:ascii="Arial" w:hAnsi="Arial" w:cs="Arial"/>
          <w:bCs/>
          <w:szCs w:val="28"/>
        </w:rPr>
        <w:t xml:space="preserve"> rozporządzeniem, a konkretnie z </w:t>
      </w:r>
      <w:r w:rsidRPr="00B56D88">
        <w:rPr>
          <w:rFonts w:ascii="Arial" w:hAnsi="Arial" w:cs="Arial"/>
          <w:szCs w:val="28"/>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64746761"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Pod pojęciem wywieszki rozporządzenie rozumie etykietę, metkę, tabliczkę lub plakat; wywieszka może mieć formę wyświetlacza (§ 2 pkt 4 rozporządzenia).</w:t>
      </w:r>
    </w:p>
    <w:p w14:paraId="60AEE90D"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Zgodnie natomiast z § 4 ust. 1 rozporządzenia cena jednostkowa dotyczy odpowiednio ceny za:</w:t>
      </w:r>
    </w:p>
    <w:p w14:paraId="312F7862" w14:textId="77777777" w:rsidR="00B56D88" w:rsidRPr="00B56D88" w:rsidRDefault="00B56D88" w:rsidP="00B56D88">
      <w:pPr>
        <w:numPr>
          <w:ilvl w:val="0"/>
          <w:numId w:val="28"/>
        </w:numPr>
        <w:spacing w:after="120" w:line="360" w:lineRule="auto"/>
        <w:rPr>
          <w:rFonts w:ascii="Arial" w:hAnsi="Arial" w:cs="Arial"/>
          <w:szCs w:val="28"/>
        </w:rPr>
      </w:pPr>
      <w:r w:rsidRPr="00B56D88">
        <w:rPr>
          <w:rFonts w:ascii="Arial" w:hAnsi="Arial" w:cs="Arial"/>
          <w:szCs w:val="28"/>
        </w:rPr>
        <w:t>litr lub metr sześcienny – dla towaru przeznaczonego do sprzedaży według objętości;</w:t>
      </w:r>
    </w:p>
    <w:p w14:paraId="052A0738" w14:textId="77777777" w:rsidR="00B56D88" w:rsidRPr="00B56D88" w:rsidRDefault="00B56D88" w:rsidP="00B56D88">
      <w:pPr>
        <w:numPr>
          <w:ilvl w:val="0"/>
          <w:numId w:val="28"/>
        </w:numPr>
        <w:spacing w:after="120" w:line="360" w:lineRule="auto"/>
        <w:rPr>
          <w:rFonts w:ascii="Arial" w:hAnsi="Arial" w:cs="Arial"/>
          <w:szCs w:val="28"/>
        </w:rPr>
      </w:pPr>
      <w:r w:rsidRPr="00B56D88">
        <w:rPr>
          <w:rFonts w:ascii="Arial" w:hAnsi="Arial" w:cs="Arial"/>
          <w:szCs w:val="28"/>
        </w:rPr>
        <w:t>kilogram lub tonę – dla towaru przeznaczonego do sprzedaży według masy;</w:t>
      </w:r>
    </w:p>
    <w:p w14:paraId="3863AAFD" w14:textId="77777777" w:rsidR="00B56D88" w:rsidRPr="00B56D88" w:rsidRDefault="00B56D88" w:rsidP="00B56D88">
      <w:pPr>
        <w:numPr>
          <w:ilvl w:val="0"/>
          <w:numId w:val="28"/>
        </w:numPr>
        <w:spacing w:after="120" w:line="360" w:lineRule="auto"/>
        <w:rPr>
          <w:rFonts w:ascii="Arial" w:hAnsi="Arial" w:cs="Arial"/>
          <w:szCs w:val="28"/>
        </w:rPr>
      </w:pPr>
      <w:r w:rsidRPr="00B56D88">
        <w:rPr>
          <w:rFonts w:ascii="Arial" w:hAnsi="Arial" w:cs="Arial"/>
          <w:szCs w:val="28"/>
        </w:rPr>
        <w:t>metr – dla towaru przeznaczonego do sprzedaży według długości;</w:t>
      </w:r>
    </w:p>
    <w:p w14:paraId="62A375DD" w14:textId="77777777" w:rsidR="00B56D88" w:rsidRPr="00B56D88" w:rsidRDefault="00B56D88" w:rsidP="00B56D88">
      <w:pPr>
        <w:numPr>
          <w:ilvl w:val="0"/>
          <w:numId w:val="28"/>
        </w:numPr>
        <w:spacing w:after="120" w:line="360" w:lineRule="auto"/>
        <w:rPr>
          <w:rFonts w:ascii="Arial" w:hAnsi="Arial" w:cs="Arial"/>
          <w:szCs w:val="28"/>
        </w:rPr>
      </w:pPr>
      <w:r w:rsidRPr="00B56D88">
        <w:rPr>
          <w:rFonts w:ascii="Arial" w:hAnsi="Arial" w:cs="Arial"/>
          <w:szCs w:val="28"/>
        </w:rPr>
        <w:t>metr kwadratowy – dla towaru przeznaczonego do sprzedaży według powierzchni;</w:t>
      </w:r>
    </w:p>
    <w:p w14:paraId="33ED83D7" w14:textId="77777777" w:rsidR="00B56D88" w:rsidRPr="00B56D88" w:rsidRDefault="00B56D88" w:rsidP="00B56D88">
      <w:pPr>
        <w:numPr>
          <w:ilvl w:val="0"/>
          <w:numId w:val="28"/>
        </w:numPr>
        <w:spacing w:after="120" w:line="360" w:lineRule="auto"/>
        <w:rPr>
          <w:rFonts w:ascii="Arial" w:hAnsi="Arial" w:cs="Arial"/>
          <w:szCs w:val="28"/>
        </w:rPr>
      </w:pPr>
      <w:r w:rsidRPr="00B56D88">
        <w:rPr>
          <w:rFonts w:ascii="Arial" w:hAnsi="Arial" w:cs="Arial"/>
          <w:szCs w:val="28"/>
        </w:rPr>
        <w:t>sztukę – dla towarów przeznaczonych do sprzedaży na sztuki.</w:t>
      </w:r>
    </w:p>
    <w:p w14:paraId="39E79FCE"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5EA6D5E"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W przypadku towaru pakowanego oznaczonego liczbą sztuk dopuszcza się stosowanie przeliczenia na cenę jednostkową za sztukę lub za dziesiętną wielokrotność liczby sztuk (§ 4 ust. 3 rozporządzenia).</w:t>
      </w:r>
    </w:p>
    <w:p w14:paraId="0D726639"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 xml:space="preserve">§ 6 rozporządzenia stanowi, że cena jednostkowa pakowanego środka spożywczego w stanie stałym znajdującego się w środku płynnym dotyczy masy netto środka </w:t>
      </w:r>
      <w:r w:rsidRPr="00B56D88">
        <w:rPr>
          <w:rFonts w:ascii="Arial" w:hAnsi="Arial" w:cs="Arial"/>
          <w:szCs w:val="28"/>
        </w:rPr>
        <w:lastRenderedPageBreak/>
        <w:t>spożywczego po odsączeniu, oznaczonej na opakowaniu jednostkowym, jeżeli płyn ten lub mieszanka płynów stanowi jedynie dodatek do podstawowego składu tego środka spożywczego.</w:t>
      </w:r>
    </w:p>
    <w:p w14:paraId="78C85F96"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Jak wynika z § 2 pkt 6 rozporządzenia pod pojęciem masy netto po odsączeniu należy rozumieć masę środka spożywczego w stanie stałym umieszczonego w środku płynnym.</w:t>
      </w:r>
    </w:p>
    <w:p w14:paraId="3A07F740" w14:textId="29117B95" w:rsidR="00B56D88" w:rsidRPr="00B56D88" w:rsidRDefault="00B56D88" w:rsidP="00B56D88">
      <w:pPr>
        <w:spacing w:after="120" w:line="360" w:lineRule="auto"/>
        <w:rPr>
          <w:rFonts w:ascii="Arial" w:hAnsi="Arial" w:cs="Arial"/>
          <w:szCs w:val="28"/>
        </w:rPr>
      </w:pPr>
      <w:r w:rsidRPr="00B56D88">
        <w:rPr>
          <w:rFonts w:ascii="Arial" w:hAnsi="Arial" w:cs="Arial"/>
          <w:szCs w:val="28"/>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5EA53288"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 xml:space="preserve">W powyższej sprawie, w wyniku kontroli przeprowadzonej w dniach 14 i 19 stycznia 2022 r. w miejscu sprzedaży detalicznej tj. sklepie </w:t>
      </w:r>
      <w:r w:rsidRPr="00B56D88">
        <w:rPr>
          <w:rFonts w:ascii="Arial" w:hAnsi="Arial" w:cs="Arial"/>
          <w:b/>
          <w:bCs/>
          <w:szCs w:val="28"/>
        </w:rPr>
        <w:t>(dane zanonimizowane)</w:t>
      </w:r>
      <w:r w:rsidRPr="00B56D88">
        <w:rPr>
          <w:rFonts w:ascii="Arial" w:hAnsi="Arial" w:cs="Arial"/>
          <w:szCs w:val="28"/>
        </w:rPr>
        <w:t xml:space="preserve"> zlokalizowanym w Radymnie przy ul. </w:t>
      </w:r>
      <w:r w:rsidRPr="00B56D88">
        <w:rPr>
          <w:rFonts w:ascii="Arial" w:hAnsi="Arial" w:cs="Arial"/>
          <w:b/>
          <w:bCs/>
          <w:szCs w:val="28"/>
        </w:rPr>
        <w:t>(dane zanonimizowane)</w:t>
      </w:r>
      <w:r w:rsidRPr="00B56D88">
        <w:rPr>
          <w:rFonts w:ascii="Arial" w:hAnsi="Arial" w:cs="Arial"/>
          <w:szCs w:val="28"/>
        </w:rPr>
        <w:t xml:space="preserve">, należącym do Pani </w:t>
      </w:r>
      <w:r w:rsidRPr="00B56D88">
        <w:rPr>
          <w:rFonts w:ascii="Arial" w:hAnsi="Arial" w:cs="Arial"/>
          <w:b/>
          <w:bCs/>
          <w:szCs w:val="28"/>
        </w:rPr>
        <w:t>(dane zanonimizowane)</w:t>
      </w:r>
      <w:r w:rsidRPr="00B56D88">
        <w:rPr>
          <w:rFonts w:ascii="Arial" w:hAnsi="Arial" w:cs="Arial"/>
          <w:szCs w:val="28"/>
        </w:rPr>
        <w:t xml:space="preserve">, prowadzącej działalność gospodarczą pod firmą: Anna Pelc „ADS”, Małkowice </w:t>
      </w:r>
      <w:r w:rsidRPr="00B56D88">
        <w:rPr>
          <w:rFonts w:ascii="Arial" w:hAnsi="Arial" w:cs="Arial"/>
          <w:b/>
          <w:bCs/>
          <w:szCs w:val="28"/>
        </w:rPr>
        <w:t xml:space="preserve">(dane zanonimizowane) </w:t>
      </w:r>
      <w:r w:rsidRPr="00B56D88">
        <w:rPr>
          <w:rFonts w:ascii="Arial" w:hAnsi="Arial" w:cs="Arial"/>
          <w:szCs w:val="28"/>
        </w:rPr>
        <w:t xml:space="preserve">Orły ustalono, iż nie dopełniono wynikającego z art. 4 ust. 1 ustawy obowiązku tj. nie uwidoczniono cen i cen jednostkowych w sposób jednoznaczny, niebudzący wątpliwości oraz umożliwiający ich porównanie. </w:t>
      </w:r>
    </w:p>
    <w:p w14:paraId="029074E9"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 xml:space="preserve">Łącznie w dwudziestu przypadkach stwierdzono brak uwidocznienia cen i cen jednostkowych oraz brak właściwych cen (brak cen i cen jednostkowych stwierdzono przy dwóch produktach, a brak podania właściwej ceny stwierdzony przy osiemnastu partiach produktów wynikał z faktu uwidocznienia przy tychże produktach informacji odnoszących się do produktów o innych gramaturach, co traktowane jest jako podanie cen innego towaru, a nie tego, który faktycznie jest oferowany do sprzedaży). Ponadto, przy czterech produktach nie podano cen jednostkowych, a przy ośmiu produktach w stanie stałym znajdujących się w środku płynnym </w:t>
      </w:r>
      <w:r w:rsidRPr="00B56D88">
        <w:rPr>
          <w:rFonts w:ascii="Arial" w:hAnsi="Arial" w:cs="Arial"/>
          <w:szCs w:val="28"/>
        </w:rPr>
        <w:lastRenderedPageBreak/>
        <w:t xml:space="preserve">stwierdzono brak właściwych cen jednostkowych wyliczonych w odniesieniu do masy netto po odcieku. </w:t>
      </w:r>
    </w:p>
    <w:p w14:paraId="7AE1B887" w14:textId="1128F10B" w:rsidR="00B56D88" w:rsidRPr="00B56D88" w:rsidRDefault="00B56D88" w:rsidP="00B56D88">
      <w:pPr>
        <w:spacing w:after="120" w:line="360" w:lineRule="auto"/>
        <w:rPr>
          <w:rFonts w:ascii="Arial" w:hAnsi="Arial" w:cs="Arial"/>
          <w:b/>
          <w:szCs w:val="28"/>
        </w:rPr>
      </w:pPr>
      <w:r w:rsidRPr="00B56D88">
        <w:rPr>
          <w:rFonts w:ascii="Arial" w:hAnsi="Arial" w:cs="Arial"/>
          <w:szCs w:val="28"/>
        </w:rPr>
        <w:t xml:space="preserve">W związku z powyższym spełnione zostały przesłanki do nałożenia przez Podkarpackiego Wojewódzkiego Inspektora Inspekcji Handlowej na kontrolowaną Panią </w:t>
      </w:r>
      <w:r w:rsidR="00F6667F">
        <w:rPr>
          <w:rFonts w:ascii="Arial" w:hAnsi="Arial" w:cs="Arial"/>
          <w:b/>
          <w:bCs/>
          <w:szCs w:val="28"/>
        </w:rPr>
        <w:t>(dane zanonimizowane)</w:t>
      </w:r>
      <w:r w:rsidRPr="00B56D88">
        <w:rPr>
          <w:rFonts w:ascii="Arial" w:hAnsi="Arial" w:cs="Arial"/>
          <w:szCs w:val="28"/>
        </w:rPr>
        <w:t xml:space="preserve"> kary pieniężnej przewidzianej w art. 6 ust. ustawy w wysokości </w:t>
      </w:r>
      <w:r w:rsidRPr="00B56D88">
        <w:rPr>
          <w:rFonts w:ascii="Arial" w:hAnsi="Arial" w:cs="Arial"/>
          <w:b/>
          <w:szCs w:val="28"/>
        </w:rPr>
        <w:t xml:space="preserve">1000 zł. </w:t>
      </w:r>
    </w:p>
    <w:p w14:paraId="4071017D"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Wymierzając ją PWIIH wziął pod uwagę, zgodnie z art. 6 ust. 3 ustawy:</w:t>
      </w:r>
    </w:p>
    <w:p w14:paraId="4A52FF49" w14:textId="1764537B" w:rsidR="00B56D88" w:rsidRPr="00B56D88" w:rsidRDefault="00B56D88" w:rsidP="00B56D88">
      <w:pPr>
        <w:numPr>
          <w:ilvl w:val="0"/>
          <w:numId w:val="19"/>
        </w:numPr>
        <w:spacing w:after="120" w:line="360" w:lineRule="auto"/>
        <w:rPr>
          <w:rFonts w:ascii="Arial" w:hAnsi="Arial" w:cs="Arial"/>
          <w:szCs w:val="28"/>
        </w:rPr>
      </w:pPr>
      <w:r w:rsidRPr="00B56D88">
        <w:rPr>
          <w:rFonts w:ascii="Arial" w:hAnsi="Arial" w:cs="Arial"/>
          <w:b/>
          <w:szCs w:val="28"/>
        </w:rPr>
        <w:t>stopień naruszenia</w:t>
      </w:r>
      <w:r w:rsidRPr="00B56D88">
        <w:rPr>
          <w:rFonts w:ascii="Arial" w:hAnsi="Arial" w:cs="Arial"/>
          <w:szCs w:val="28"/>
        </w:rPr>
        <w:t xml:space="preserve"> obowiązków – w toku kontroli sprawdzono informacje przy </w:t>
      </w:r>
      <w:r w:rsidRPr="00B56D88">
        <w:rPr>
          <w:rFonts w:ascii="Arial" w:hAnsi="Arial" w:cs="Arial"/>
          <w:b/>
          <w:szCs w:val="28"/>
        </w:rPr>
        <w:t>114</w:t>
      </w:r>
      <w:r w:rsidRPr="00B56D88">
        <w:rPr>
          <w:rFonts w:ascii="Arial" w:hAnsi="Arial" w:cs="Arial"/>
          <w:szCs w:val="28"/>
        </w:rPr>
        <w:t xml:space="preserve"> asortymentach towarów, stwierdzając przy </w:t>
      </w:r>
      <w:r w:rsidRPr="00B56D88">
        <w:rPr>
          <w:rFonts w:ascii="Arial" w:hAnsi="Arial" w:cs="Arial"/>
          <w:b/>
          <w:szCs w:val="28"/>
        </w:rPr>
        <w:t>32</w:t>
      </w:r>
      <w:r w:rsidRPr="00B56D88">
        <w:rPr>
          <w:rFonts w:ascii="Arial" w:hAnsi="Arial" w:cs="Arial"/>
          <w:szCs w:val="28"/>
        </w:rPr>
        <w:t xml:space="preserve"> partiach nieprawidłowości dające podstawę do wszczęcia postępowania w sprawie wymierzenia kary, tj. w przypadku</w:t>
      </w:r>
      <w:r w:rsidRPr="00B56D88">
        <w:rPr>
          <w:rFonts w:ascii="Arial" w:hAnsi="Arial" w:cs="Arial"/>
          <w:bCs/>
          <w:szCs w:val="28"/>
        </w:rPr>
        <w:t xml:space="preserve"> niespełna </w:t>
      </w:r>
      <w:r w:rsidRPr="00B56D88">
        <w:rPr>
          <w:rFonts w:ascii="Arial" w:hAnsi="Arial" w:cs="Arial"/>
          <w:b/>
          <w:bCs/>
          <w:szCs w:val="28"/>
        </w:rPr>
        <w:t xml:space="preserve">28 </w:t>
      </w:r>
      <w:r w:rsidRPr="00B56D88">
        <w:rPr>
          <w:rFonts w:ascii="Arial" w:hAnsi="Arial" w:cs="Arial"/>
          <w:b/>
          <w:szCs w:val="28"/>
        </w:rPr>
        <w:t>%</w:t>
      </w:r>
      <w:r w:rsidRPr="00B56D88">
        <w:rPr>
          <w:rFonts w:ascii="Arial" w:hAnsi="Arial" w:cs="Arial"/>
          <w:szCs w:val="28"/>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6D187C6B" w14:textId="77777777" w:rsidR="00B56D88" w:rsidRPr="00B56D88" w:rsidRDefault="00B56D88" w:rsidP="00B56D88">
      <w:pPr>
        <w:numPr>
          <w:ilvl w:val="0"/>
          <w:numId w:val="19"/>
        </w:numPr>
        <w:spacing w:after="120" w:line="360" w:lineRule="auto"/>
        <w:rPr>
          <w:rFonts w:ascii="Arial" w:hAnsi="Arial" w:cs="Arial"/>
          <w:szCs w:val="28"/>
        </w:rPr>
      </w:pPr>
      <w:r w:rsidRPr="00B56D88">
        <w:rPr>
          <w:rFonts w:ascii="Arial" w:hAnsi="Arial" w:cs="Arial"/>
          <w:szCs w:val="28"/>
        </w:rPr>
        <w:t xml:space="preserve">fakt, że jest to </w:t>
      </w:r>
      <w:r w:rsidRPr="00B56D88">
        <w:rPr>
          <w:rFonts w:ascii="Arial" w:hAnsi="Arial" w:cs="Arial"/>
          <w:b/>
          <w:szCs w:val="28"/>
        </w:rPr>
        <w:t>pierwsze naruszenie</w:t>
      </w:r>
      <w:r w:rsidRPr="00B56D88">
        <w:rPr>
          <w:rFonts w:ascii="Arial" w:hAnsi="Arial" w:cs="Arial"/>
          <w:szCs w:val="28"/>
        </w:rPr>
        <w:t xml:space="preserve"> przez przedsiębiorcę przepisów w zakresie uwidaczniania cen w okresie 12 miesięcy, licząc od dnia, w którym stwierdzono naruszenie tych obowiązków po raz pierwszy;</w:t>
      </w:r>
    </w:p>
    <w:p w14:paraId="5F69FA19" w14:textId="77777777" w:rsidR="00B56D88" w:rsidRPr="00B56D88" w:rsidRDefault="00B56D88" w:rsidP="00B56D88">
      <w:pPr>
        <w:numPr>
          <w:ilvl w:val="0"/>
          <w:numId w:val="19"/>
        </w:numPr>
        <w:spacing w:after="120" w:line="360" w:lineRule="auto"/>
        <w:rPr>
          <w:rFonts w:ascii="Arial" w:hAnsi="Arial" w:cs="Arial"/>
          <w:szCs w:val="28"/>
        </w:rPr>
      </w:pPr>
      <w:r w:rsidRPr="00B56D88">
        <w:rPr>
          <w:rFonts w:ascii="Arial" w:hAnsi="Arial" w:cs="Arial"/>
          <w:b/>
          <w:szCs w:val="28"/>
        </w:rPr>
        <w:t>wielkość obrotów i przychodu</w:t>
      </w:r>
      <w:r w:rsidRPr="00B56D88">
        <w:rPr>
          <w:rFonts w:ascii="Arial" w:hAnsi="Arial" w:cs="Arial"/>
          <w:szCs w:val="28"/>
        </w:rPr>
        <w:t xml:space="preserve"> przedsiębiorcy w roku 2021.</w:t>
      </w:r>
    </w:p>
    <w:p w14:paraId="7FAC7A34" w14:textId="5F1D7D4A" w:rsidR="00B56D88" w:rsidRPr="00B56D88" w:rsidRDefault="00B56D88" w:rsidP="00B56D88">
      <w:pPr>
        <w:spacing w:after="120" w:line="360" w:lineRule="auto"/>
        <w:rPr>
          <w:rFonts w:ascii="Arial" w:hAnsi="Arial" w:cs="Arial"/>
          <w:szCs w:val="28"/>
        </w:rPr>
      </w:pPr>
      <w:r w:rsidRPr="00B56D88">
        <w:rPr>
          <w:rFonts w:ascii="Arial" w:hAnsi="Arial" w:cs="Arial"/>
          <w:szCs w:val="28"/>
        </w:rPr>
        <w:t xml:space="preserve">Biorąc pod uwagę wymienione kryteria, nałożenie kary pieniężnej w kwocie </w:t>
      </w:r>
      <w:r w:rsidRPr="00B56D88">
        <w:rPr>
          <w:rFonts w:ascii="Arial" w:hAnsi="Arial" w:cs="Arial"/>
          <w:b/>
          <w:szCs w:val="28"/>
        </w:rPr>
        <w:t xml:space="preserve">1000 zł </w:t>
      </w:r>
      <w:r w:rsidRPr="00B56D88">
        <w:rPr>
          <w:rFonts w:ascii="Arial" w:hAnsi="Arial" w:cs="Arial"/>
          <w:szCs w:val="28"/>
        </w:rPr>
        <w:t>w stosunku do przewidzianej w ustawie kary określonej w maksymalnej wysokości,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16D91707" w14:textId="3464DE44" w:rsidR="00B56D88" w:rsidRPr="00B56D88" w:rsidRDefault="00B56D88" w:rsidP="00B56D88">
      <w:pPr>
        <w:spacing w:after="120" w:line="360" w:lineRule="auto"/>
        <w:rPr>
          <w:rFonts w:ascii="Arial" w:hAnsi="Arial" w:cs="Arial"/>
          <w:szCs w:val="28"/>
        </w:rPr>
      </w:pPr>
      <w:r w:rsidRPr="00B56D88">
        <w:rPr>
          <w:rFonts w:ascii="Arial" w:hAnsi="Arial" w:cs="Arial"/>
          <w:szCs w:val="28"/>
        </w:rPr>
        <w:t xml:space="preserve">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 o zamiarze wszczęcia kontroli. Stwierdzić zatem należy, iż był to wystarczający i maksymalnie dopuszczalny czas na odpowiednie przygotowanie się </w:t>
      </w:r>
      <w:r w:rsidRPr="00B56D88">
        <w:rPr>
          <w:rFonts w:ascii="Arial" w:hAnsi="Arial" w:cs="Arial"/>
          <w:szCs w:val="28"/>
        </w:rPr>
        <w:lastRenderedPageBreak/>
        <w:t xml:space="preserve">do kontroli, m.in. na sprawdzenie i zweryfikowanie prawidłowości umieszczanych informacji w zakresie cen, cen jednostkowych i informacji z nimi powiązanych takimi jak m.in. gramatury produktów w zakresie masy (informacja na wywieszce – informacja na opakowaniu) czy masy netto dla produktów w zalewach. Obowiązek uwidocznienia prawidłowych informacji o cenach towarów jest podstawowym obowiązkiem przedsiębiorcy oferującego te towary, zaś prawo do informacji o cenie jest nadrzędnym prawem konsumenta, którego nie może zostać on pozbawiony. </w:t>
      </w:r>
    </w:p>
    <w:p w14:paraId="21551E05"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 xml:space="preserve">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(wskazane w oświadczeniu w trakcie kontroli przeoczenie, pośpiech i absencja pracowników) czy działania naprawcze (niezwłoczne wyeliminowanie nieprawidłowości) podjęte w efekcie ustaleń kontroli, gdyż karę wymierza się za samo naruszenie prawa. Tym samym już samo ujawnienie podczas kontroli przeprowadzonej w sklepie </w:t>
      </w:r>
      <w:r w:rsidRPr="00B56D88">
        <w:rPr>
          <w:rFonts w:ascii="Arial" w:hAnsi="Arial" w:cs="Arial"/>
          <w:b/>
          <w:bCs/>
          <w:szCs w:val="28"/>
        </w:rPr>
        <w:t xml:space="preserve">(dane zanonimizowane) </w:t>
      </w:r>
      <w:r w:rsidRPr="00B56D88">
        <w:rPr>
          <w:rFonts w:ascii="Arial" w:hAnsi="Arial" w:cs="Arial"/>
          <w:szCs w:val="28"/>
        </w:rPr>
        <w:t xml:space="preserve">w Radymnie przy ul. </w:t>
      </w:r>
      <w:r w:rsidRPr="00B56D88">
        <w:rPr>
          <w:rFonts w:ascii="Arial" w:hAnsi="Arial" w:cs="Arial"/>
          <w:b/>
          <w:bCs/>
          <w:szCs w:val="28"/>
        </w:rPr>
        <w:t xml:space="preserve">(dane zanonimizowane) </w:t>
      </w:r>
      <w:r w:rsidRPr="00B56D88">
        <w:rPr>
          <w:rFonts w:ascii="Arial" w:hAnsi="Arial" w:cs="Arial"/>
          <w:szCs w:val="28"/>
        </w:rPr>
        <w:t>nieprawidłowości w uwidacznianiu cen lub cen jednostkowych stanowiło podstawę do wszczęcia postępowania administracyjnego w celu nałożenia w oparciu o art. 6 ust. 1 ustawy administracyjnej kary pieniężnej oraz jej nałożenia przez organ Inspekcji Handlowej.</w:t>
      </w:r>
    </w:p>
    <w:p w14:paraId="596D5B50" w14:textId="5957DAB5" w:rsidR="00B56D88" w:rsidRPr="00B56D88" w:rsidRDefault="00B56D88" w:rsidP="00B56D88">
      <w:pPr>
        <w:spacing w:after="120" w:line="360" w:lineRule="auto"/>
        <w:rPr>
          <w:rFonts w:ascii="Arial" w:hAnsi="Arial" w:cs="Arial"/>
          <w:szCs w:val="28"/>
        </w:rPr>
      </w:pPr>
      <w:r w:rsidRPr="00B56D88">
        <w:rPr>
          <w:rFonts w:ascii="Arial" w:hAnsi="Arial" w:cs="Arial"/>
          <w:szCs w:val="28"/>
        </w:rPr>
        <w:t>W związku z obiektywnym charakterem odpowiedzialności administracyjnej w przedmiotowej sprawie nie ma zastosowania zasada odpowiedzialności opartej na winie sprawcy. Kara pieniężna za naruszenie przepisów w zakresie uwidaczniania cen, jako kara administracyjna jest niezależna od winy czy zaniedbania kontrolowanego i nakładana jest w związku z wystąpieniem opisanego w ustawie skutku. Tym samym bez znaczenia dla zaistnienia odpowiedzialności strony pozostają okoliczności powstania nieprawidłowości.</w:t>
      </w:r>
    </w:p>
    <w:p w14:paraId="5355006D"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 xml:space="preserve">Ponadto, raz jeszcze w nawiązaniu do oświadczenia złożonego w trakcie kontroli wskazującego na przeoczenie, pośpiech i absencję pracowników jako powód powstania nieprawidłowości w zakresie uwidaczniania cen, wskazać m.in. należy, że to sam przedsiębiorca decyduje o organizacji pracy w przedsiębiorstwach pozostających pod jego kontrolą i za nie odpowiada. Wskazane w oświadczeniu przeoczenie czy absencja pracowników lub ich pośpiech w wykonywaniu </w:t>
      </w:r>
      <w:r w:rsidRPr="00B56D88">
        <w:rPr>
          <w:rFonts w:ascii="Arial" w:hAnsi="Arial" w:cs="Arial"/>
          <w:szCs w:val="28"/>
        </w:rPr>
        <w:lastRenderedPageBreak/>
        <w:t xml:space="preserve">obowiązków świadczyć może o niewystarczającej i niedostatecznej organizacji pracy w kontrolowanej placówce. Nie ulega wątpliwości, że organizacja ta nie może odbywać się ze szkodą dla konsumenta i w żadnym wypadku nie może stanowić okoliczności łagodzącej dla stwierdzonych w toku kontroli naruszeń prawa. </w:t>
      </w:r>
    </w:p>
    <w:p w14:paraId="7EFE32CE"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Z kolei wyeliminowanie nieprawidłowości jeszcze w trakcie kontroli świadczyć może o tym, że przedsiębiorca rzetelnie i ze zrozumieniem podchodzi do wykazanych przez organ kontroli nieprawidłowości. Podjęcie tych działań przez przedsiębiorcę ma jednak charakter następczy, a więc następujący po stwierdzeniu przez inspektorów Inspekcji Handlowej naruszenia przepisów.</w:t>
      </w:r>
    </w:p>
    <w:p w14:paraId="78F00789" w14:textId="04648D85" w:rsidR="00B56D88" w:rsidRPr="00B56D88" w:rsidRDefault="00B56D88" w:rsidP="00B56D88">
      <w:pPr>
        <w:spacing w:after="120" w:line="360" w:lineRule="auto"/>
        <w:rPr>
          <w:rFonts w:ascii="Arial" w:hAnsi="Arial" w:cs="Arial"/>
          <w:szCs w:val="28"/>
        </w:rPr>
      </w:pPr>
      <w:r w:rsidRPr="00B56D88">
        <w:rPr>
          <w:rFonts w:ascii="Arial" w:hAnsi="Arial" w:cs="Arial"/>
          <w:szCs w:val="28"/>
        </w:rPr>
        <w:t xml:space="preserve">Gdyby nie działania kontrolne organu, przedsiębiorca mógłby w dalszym ciągu błędnie informować swoich konsumentów o cenach i cenach jednostkowych towarów, narażając ich tym samym na podjęcie niekorzystnej finansowo dla nich decyzji. Zatem w interesie społecznym konsumentów leży dbanie o to, aby, przedsiębiorcy prawidłowo informowali ich o cenach towarów, jakie przyjdzie im – konsumentom – zapłacić. Z kolei Inspekcja Handlowa jest organem powołanym do ochrony interesów i praw konsumentów. Niewątpliwie, podstawowym prawem konsumentów jest prawo do rzetelnego i jasnego poinformowania o cenach danych towarów czy też usług. </w:t>
      </w:r>
    </w:p>
    <w:p w14:paraId="2B5E18F8" w14:textId="2D5F6D4B" w:rsidR="00B56D88" w:rsidRPr="00B56D88" w:rsidRDefault="00B56D88" w:rsidP="00B56D88">
      <w:pPr>
        <w:spacing w:after="120" w:line="360" w:lineRule="auto"/>
        <w:rPr>
          <w:rFonts w:ascii="Arial" w:hAnsi="Arial" w:cs="Arial"/>
          <w:szCs w:val="28"/>
        </w:rPr>
      </w:pPr>
      <w:r w:rsidRPr="00B56D88">
        <w:rPr>
          <w:rFonts w:ascii="Arial" w:hAnsi="Arial" w:cs="Arial"/>
          <w:szCs w:val="28"/>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Kupujący nie może być informowany o cenie i cenie jednostkowej towaru w sposób pośredni, wymagający od niego podjęcia czynności związanych z zasięgnięciem informacji o cenie. Ponadto, nieprawidłowe wyliczenie ceny jednostkowej dla towaru w środku płynnym, niebędącym podstawowym składnikiem produktu, lecz stanowiącym jedynie dodatek do produktu, może sugerować potencjalnemu kupującemu nabywcy, iż dokonuje zakupu w korzystniejszej cenie niż w rzeczywistości</w:t>
      </w:r>
    </w:p>
    <w:p w14:paraId="53F0A1DB" w14:textId="6B7DBAB9" w:rsidR="00B56D88" w:rsidRPr="00B56D88" w:rsidRDefault="00B56D88" w:rsidP="00B56D88">
      <w:pPr>
        <w:spacing w:after="120" w:line="360" w:lineRule="auto"/>
        <w:rPr>
          <w:rFonts w:ascii="Arial" w:hAnsi="Arial" w:cs="Arial"/>
          <w:szCs w:val="28"/>
        </w:rPr>
      </w:pPr>
      <w:r w:rsidRPr="00B56D88">
        <w:rPr>
          <w:rFonts w:ascii="Arial" w:hAnsi="Arial" w:cs="Arial"/>
          <w:szCs w:val="28"/>
        </w:rPr>
        <w:t xml:space="preserve">Organ zauważa, że na przedsiębiorcy spoczywa obowiązek uwidocznienia cen oraz cen jednostkowych. Uwidaczniając ceny jednostkowe przedsiębiorca odpowiada za prawidłowe ich wyliczenie zgodnie z obowiązującymi przepisami, zapewniając tym </w:t>
      </w:r>
      <w:r w:rsidRPr="00B56D88">
        <w:rPr>
          <w:rFonts w:ascii="Arial" w:hAnsi="Arial" w:cs="Arial"/>
          <w:szCs w:val="28"/>
        </w:rPr>
        <w:lastRenderedPageBreak/>
        <w:t xml:space="preserve">samym konsumentom możliwość prawidłowego porównania cen produktów. 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517E3E80" w14:textId="0178378E" w:rsidR="00B56D88" w:rsidRPr="00B56D88" w:rsidRDefault="00B56D88" w:rsidP="00B56D88">
      <w:pPr>
        <w:spacing w:after="120" w:line="360" w:lineRule="auto"/>
        <w:rPr>
          <w:rFonts w:ascii="Arial" w:hAnsi="Arial" w:cs="Arial"/>
          <w:szCs w:val="28"/>
        </w:rPr>
      </w:pPr>
      <w:r w:rsidRPr="00B56D88">
        <w:rPr>
          <w:rFonts w:ascii="Arial" w:hAnsi="Arial" w:cs="Arial"/>
          <w:szCs w:val="28"/>
        </w:rPr>
        <w:t>Wskazać również należy, iż na wysokość wymierzonej kary wpływ ma wielkość obrotów i przychodu przedsiębiorcy, a także fakt, czy jest to pierwsze czy ewentualne kolejne naruszenie przepisów w zakresie uwidaczniania cen. Organ wziął powyższe pod uwagę przy ustalaniu kary pieniężnej.</w:t>
      </w:r>
    </w:p>
    <w:p w14:paraId="73309C93"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Wskazać należy ponadto, że tutejszy organ Inspekcji, analizując cały materiał dowodowy nie znalazł podstaw do odstąpienia od wymierzenia administracyjnej kary pieniężnej.</w:t>
      </w:r>
    </w:p>
    <w:p w14:paraId="2AF398B5" w14:textId="1B66ACB9" w:rsidR="00B56D88" w:rsidRPr="00B56D88" w:rsidRDefault="00B56D88" w:rsidP="00B56D88">
      <w:pPr>
        <w:spacing w:after="120" w:line="360" w:lineRule="auto"/>
        <w:rPr>
          <w:rFonts w:ascii="Arial" w:hAnsi="Arial" w:cs="Arial"/>
          <w:szCs w:val="28"/>
        </w:rPr>
      </w:pPr>
      <w:r w:rsidRPr="00B56D88">
        <w:rPr>
          <w:rFonts w:ascii="Arial" w:hAnsi="Arial" w:cs="Arial"/>
          <w:szCs w:val="28"/>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B56D88">
        <w:rPr>
          <w:rFonts w:ascii="Arial" w:hAnsi="Arial" w:cs="Arial"/>
          <w:szCs w:val="28"/>
        </w:rPr>
        <w:t>MoP</w:t>
      </w:r>
      <w:proofErr w:type="spellEnd"/>
      <w:r w:rsidRPr="00B56D88">
        <w:rPr>
          <w:rFonts w:ascii="Arial" w:hAnsi="Arial" w:cs="Arial"/>
          <w:szCs w:val="28"/>
        </w:rPr>
        <w:t xml:space="preserve"> 2005, Nr 6). „Siłę wyższą odróżnia od zwykłego przypadku (casus) to, że jest to zdarzenie nadzwyczajne, zewnętrzne i niemożliwe do zapobieżenia (vis </w:t>
      </w:r>
      <w:proofErr w:type="spellStart"/>
      <w:r w:rsidRPr="00B56D88">
        <w:rPr>
          <w:rFonts w:ascii="Arial" w:hAnsi="Arial" w:cs="Arial"/>
          <w:szCs w:val="28"/>
        </w:rPr>
        <w:t>cui</w:t>
      </w:r>
      <w:proofErr w:type="spellEnd"/>
      <w:r w:rsidRPr="00B56D88">
        <w:rPr>
          <w:rFonts w:ascii="Arial" w:hAnsi="Arial" w:cs="Arial"/>
          <w:szCs w:val="28"/>
        </w:rPr>
        <w:t xml:space="preserve"> </w:t>
      </w:r>
      <w:proofErr w:type="spellStart"/>
      <w:r w:rsidRPr="00B56D88">
        <w:rPr>
          <w:rFonts w:ascii="Arial" w:hAnsi="Arial" w:cs="Arial"/>
          <w:szCs w:val="28"/>
        </w:rPr>
        <w:t>humana</w:t>
      </w:r>
      <w:proofErr w:type="spellEnd"/>
      <w:r w:rsidRPr="00B56D88">
        <w:rPr>
          <w:rFonts w:ascii="Arial" w:hAnsi="Arial" w:cs="Arial"/>
          <w:szCs w:val="28"/>
        </w:rPr>
        <w:t xml:space="preserve"> </w:t>
      </w:r>
      <w:proofErr w:type="spellStart"/>
      <w:r w:rsidRPr="00B56D88">
        <w:rPr>
          <w:rFonts w:ascii="Arial" w:hAnsi="Arial" w:cs="Arial"/>
          <w:szCs w:val="28"/>
        </w:rPr>
        <w:t>infirmitas</w:t>
      </w:r>
      <w:proofErr w:type="spellEnd"/>
      <w:r w:rsidRPr="00B56D88">
        <w:rPr>
          <w:rFonts w:ascii="Arial" w:hAnsi="Arial" w:cs="Arial"/>
          <w:szCs w:val="28"/>
        </w:rPr>
        <w:t xml:space="preserve"> </w:t>
      </w:r>
      <w:proofErr w:type="spellStart"/>
      <w:r w:rsidRPr="00B56D88">
        <w:rPr>
          <w:rFonts w:ascii="Arial" w:hAnsi="Arial" w:cs="Arial"/>
          <w:szCs w:val="28"/>
        </w:rPr>
        <w:t>resistere</w:t>
      </w:r>
      <w:proofErr w:type="spellEnd"/>
      <w:r w:rsidRPr="00B56D88">
        <w:rPr>
          <w:rFonts w:ascii="Arial" w:hAnsi="Arial" w:cs="Arial"/>
          <w:szCs w:val="28"/>
        </w:rPr>
        <w:t xml:space="preserve"> non </w:t>
      </w:r>
      <w:proofErr w:type="spellStart"/>
      <w:r w:rsidRPr="00B56D88">
        <w:rPr>
          <w:rFonts w:ascii="Arial" w:hAnsi="Arial" w:cs="Arial"/>
          <w:szCs w:val="28"/>
        </w:rPr>
        <w:t>potest</w:t>
      </w:r>
      <w:proofErr w:type="spellEnd"/>
      <w:r w:rsidRPr="00B56D88">
        <w:rPr>
          <w:rFonts w:ascii="Arial" w:hAnsi="Arial" w:cs="Arial"/>
          <w:szCs w:val="28"/>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B56D88">
        <w:rPr>
          <w:rFonts w:ascii="Arial" w:hAnsi="Arial" w:cs="Arial"/>
          <w:szCs w:val="28"/>
        </w:rPr>
        <w:t>Kidyba</w:t>
      </w:r>
      <w:proofErr w:type="spellEnd"/>
      <w:r w:rsidRPr="00B56D88">
        <w:rPr>
          <w:rFonts w:ascii="Arial" w:hAnsi="Arial" w:cs="Arial"/>
          <w:szCs w:val="28"/>
        </w:rPr>
        <w:t xml:space="preserve">: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w:t>
      </w:r>
      <w:r w:rsidRPr="00B56D88">
        <w:rPr>
          <w:rFonts w:ascii="Arial" w:hAnsi="Arial" w:cs="Arial"/>
          <w:szCs w:val="28"/>
        </w:rPr>
        <w:lastRenderedPageBreak/>
        <w:t>zamiarze ich przeprowadzenia, a tym samym kontrolowany ma czas i możliwość przygotowania się do takiej.</w:t>
      </w:r>
    </w:p>
    <w:p w14:paraId="5E362168" w14:textId="20C18D5B" w:rsidR="00B56D88" w:rsidRPr="00B56D88" w:rsidRDefault="00B56D88" w:rsidP="00B56D88">
      <w:pPr>
        <w:spacing w:after="120" w:line="360" w:lineRule="auto"/>
        <w:rPr>
          <w:rFonts w:ascii="Arial" w:hAnsi="Arial" w:cs="Arial"/>
          <w:szCs w:val="28"/>
        </w:rPr>
      </w:pPr>
      <w:r w:rsidRPr="00B56D88">
        <w:rPr>
          <w:rFonts w:ascii="Arial" w:hAnsi="Arial" w:cs="Arial"/>
          <w:szCs w:val="28"/>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5DAC81D3" w14:textId="77777777" w:rsidR="00B56D88" w:rsidRPr="00B56D88" w:rsidRDefault="00B56D88" w:rsidP="00B56D88">
      <w:pPr>
        <w:numPr>
          <w:ilvl w:val="0"/>
          <w:numId w:val="13"/>
        </w:numPr>
        <w:spacing w:after="120" w:line="360" w:lineRule="auto"/>
        <w:rPr>
          <w:rFonts w:ascii="Arial" w:hAnsi="Arial" w:cs="Arial"/>
          <w:szCs w:val="28"/>
        </w:rPr>
      </w:pPr>
      <w:r w:rsidRPr="00B56D88">
        <w:rPr>
          <w:rFonts w:ascii="Arial" w:hAnsi="Arial" w:cs="Arial"/>
          <w:szCs w:val="28"/>
        </w:rPr>
        <w:t>waga naruszenia prawa jest znikoma, a strona zaprzestała naruszania prawa lub</w:t>
      </w:r>
    </w:p>
    <w:p w14:paraId="3DFD5CD6" w14:textId="77777777" w:rsidR="00B56D88" w:rsidRPr="00B56D88" w:rsidRDefault="00B56D88" w:rsidP="00B56D88">
      <w:pPr>
        <w:numPr>
          <w:ilvl w:val="0"/>
          <w:numId w:val="13"/>
        </w:numPr>
        <w:spacing w:after="120" w:line="360" w:lineRule="auto"/>
        <w:rPr>
          <w:rFonts w:ascii="Arial" w:hAnsi="Arial" w:cs="Arial"/>
          <w:szCs w:val="28"/>
        </w:rPr>
      </w:pPr>
      <w:r w:rsidRPr="00B56D88">
        <w:rPr>
          <w:rFonts w:ascii="Arial" w:hAnsi="Arial" w:cs="Arial"/>
          <w:szCs w:val="28"/>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BDF47C6"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 xml:space="preserve">W ocenie tutejszego organu Inspekcji wagi naruszenia prawa przez stronę nie można uznać za znikomą, gdyż brak uwidocznienia cen i cen jednostkowych, brak właściwych cen, brak cen jednostkowych oraz brak właściwych cen jednostkowych wyliczonych w odniesieniu do masy netto po odcieku dla produktów w stanie stałym znajdujących się w zalewach dla łącznie </w:t>
      </w:r>
      <w:r w:rsidRPr="00B56D88">
        <w:rPr>
          <w:rFonts w:ascii="Arial" w:hAnsi="Arial" w:cs="Arial"/>
          <w:b/>
          <w:bCs/>
          <w:szCs w:val="28"/>
        </w:rPr>
        <w:t>32</w:t>
      </w:r>
      <w:r w:rsidRPr="00B56D88">
        <w:rPr>
          <w:rFonts w:ascii="Arial" w:hAnsi="Arial" w:cs="Arial"/>
          <w:szCs w:val="28"/>
        </w:rPr>
        <w:t xml:space="preserve"> produktów spośród </w:t>
      </w:r>
      <w:r w:rsidRPr="00B56D88">
        <w:rPr>
          <w:rFonts w:ascii="Arial" w:hAnsi="Arial" w:cs="Arial"/>
          <w:b/>
          <w:bCs/>
          <w:szCs w:val="28"/>
        </w:rPr>
        <w:t>114</w:t>
      </w:r>
      <w:r w:rsidRPr="00B56D88">
        <w:rPr>
          <w:rFonts w:ascii="Arial" w:hAnsi="Arial" w:cs="Arial"/>
          <w:szCs w:val="28"/>
        </w:rPr>
        <w:t xml:space="preserve"> sprawdzanych (</w:t>
      </w:r>
      <w:r w:rsidRPr="00B56D88">
        <w:rPr>
          <w:rFonts w:ascii="Arial" w:hAnsi="Arial" w:cs="Arial"/>
          <w:b/>
          <w:bCs/>
          <w:szCs w:val="28"/>
        </w:rPr>
        <w:t>28 %</w:t>
      </w:r>
      <w:r w:rsidRPr="00B56D88">
        <w:rPr>
          <w:rFonts w:ascii="Arial" w:hAnsi="Arial" w:cs="Arial"/>
          <w:szCs w:val="28"/>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7FD13C16"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Nie można również było zastosować alternatywy, która umożliwiałaby zastosowanie instytucji odstąpienia wskazanej w przepisie art. 189f § 1 pkt 2 kpa. Kwestie cen sprawdzonych w trakcie kontroli DP.8361.1.2022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18FB0AEF" w14:textId="2F7B4A6E" w:rsidR="00B56D88" w:rsidRPr="00B56D88" w:rsidRDefault="00B56D88" w:rsidP="00B56D88">
      <w:pPr>
        <w:spacing w:after="120" w:line="360" w:lineRule="auto"/>
        <w:rPr>
          <w:rFonts w:ascii="Arial" w:hAnsi="Arial" w:cs="Arial"/>
          <w:szCs w:val="28"/>
        </w:rPr>
      </w:pPr>
      <w:r w:rsidRPr="00B56D88">
        <w:rPr>
          <w:rFonts w:ascii="Arial" w:hAnsi="Arial" w:cs="Arial"/>
          <w:szCs w:val="28"/>
        </w:rPr>
        <w:t xml:space="preserve">Brak jest także podstaw do odstąpienia od nałożenia kary pieniężnej na podstawie art. 189f § 2 kpa, w myśl którego w przypadkach innych niż wymienione w § 1, jeżeli </w:t>
      </w:r>
      <w:r w:rsidRPr="00B56D88">
        <w:rPr>
          <w:rFonts w:ascii="Arial" w:hAnsi="Arial" w:cs="Arial"/>
          <w:szCs w:val="28"/>
        </w:rPr>
        <w:lastRenderedPageBreak/>
        <w:t xml:space="preserve">pozwoli to na spełnienie celów, dla których miałaby być nałożona administracyjna kara pieniężna, organ administracji publicznej, w drodze postanowienia, może wyznaczyć stronie termin do przedstawienia dowodów potwierdzających: </w:t>
      </w:r>
    </w:p>
    <w:p w14:paraId="71DF3EE0" w14:textId="77777777" w:rsidR="00B56D88" w:rsidRPr="00B56D88" w:rsidRDefault="00B56D88" w:rsidP="00B56D88">
      <w:pPr>
        <w:numPr>
          <w:ilvl w:val="0"/>
          <w:numId w:val="14"/>
        </w:numPr>
        <w:spacing w:after="120" w:line="360" w:lineRule="auto"/>
        <w:ind w:left="426"/>
        <w:rPr>
          <w:rFonts w:ascii="Arial" w:hAnsi="Arial" w:cs="Arial"/>
          <w:szCs w:val="28"/>
        </w:rPr>
      </w:pPr>
      <w:r w:rsidRPr="00B56D88">
        <w:rPr>
          <w:rFonts w:ascii="Arial" w:hAnsi="Arial" w:cs="Arial"/>
          <w:szCs w:val="28"/>
        </w:rPr>
        <w:t>usunięcie naruszenia prawa lub</w:t>
      </w:r>
    </w:p>
    <w:p w14:paraId="1C7BFF3A" w14:textId="77777777" w:rsidR="00B56D88" w:rsidRPr="00B56D88" w:rsidRDefault="00B56D88" w:rsidP="00B56D88">
      <w:pPr>
        <w:numPr>
          <w:ilvl w:val="0"/>
          <w:numId w:val="14"/>
        </w:numPr>
        <w:spacing w:after="120" w:line="360" w:lineRule="auto"/>
        <w:ind w:left="426"/>
        <w:rPr>
          <w:rFonts w:ascii="Arial" w:hAnsi="Arial" w:cs="Arial"/>
          <w:szCs w:val="28"/>
        </w:rPr>
      </w:pPr>
      <w:r w:rsidRPr="00B56D88">
        <w:rPr>
          <w:rFonts w:ascii="Arial" w:hAnsi="Arial" w:cs="Arial"/>
          <w:szCs w:val="28"/>
        </w:rPr>
        <w:t>powiadomienie właściwych podmiotów o stwierdzonym naruszeniu prawa, określając termin i sposób powiadomienia.</w:t>
      </w:r>
    </w:p>
    <w:p w14:paraId="5BFB249E"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4CB8A55A" w14:textId="7156D613" w:rsidR="00B56D88" w:rsidRPr="00B56D88" w:rsidRDefault="00B56D88" w:rsidP="00B56D88">
      <w:pPr>
        <w:spacing w:after="120" w:line="360" w:lineRule="auto"/>
        <w:rPr>
          <w:rFonts w:ascii="Arial" w:hAnsi="Arial" w:cs="Arial"/>
          <w:szCs w:val="28"/>
        </w:rPr>
      </w:pPr>
      <w:r w:rsidRPr="00B56D88">
        <w:rPr>
          <w:rFonts w:ascii="Arial" w:hAnsi="Arial" w:cs="Arial"/>
          <w:szCs w:val="28"/>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strona tego postępowania prowadzi nieprzerwanie działalność od 4 czerwca 2002 r.</w:t>
      </w:r>
    </w:p>
    <w:p w14:paraId="62AC535F" w14:textId="77777777" w:rsidR="00B56D88" w:rsidRPr="00B56D88" w:rsidRDefault="00B56D88" w:rsidP="00B56D88">
      <w:pPr>
        <w:spacing w:after="120" w:line="360" w:lineRule="auto"/>
        <w:rPr>
          <w:rFonts w:ascii="Arial" w:hAnsi="Arial" w:cs="Arial"/>
          <w:szCs w:val="28"/>
        </w:rPr>
      </w:pPr>
      <w:r w:rsidRPr="00B56D88">
        <w:rPr>
          <w:rFonts w:ascii="Arial" w:hAnsi="Arial" w:cs="Arial"/>
          <w:szCs w:val="28"/>
        </w:rPr>
        <w:t>W związku z powyższym tutejszy organ Inspekcji orzekł jak w sentencji.</w:t>
      </w:r>
    </w:p>
    <w:p w14:paraId="08075003" w14:textId="6407D3C0" w:rsidR="00B56D88" w:rsidRPr="00B56D88" w:rsidRDefault="00B56D88" w:rsidP="00B56D88">
      <w:pPr>
        <w:spacing w:after="120" w:line="360" w:lineRule="auto"/>
        <w:rPr>
          <w:rFonts w:ascii="Arial" w:hAnsi="Arial" w:cs="Arial"/>
          <w:szCs w:val="28"/>
        </w:rPr>
      </w:pPr>
      <w:r w:rsidRPr="00B56D88">
        <w:rPr>
          <w:rFonts w:ascii="Arial" w:hAnsi="Arial" w:cs="Arial"/>
          <w:szCs w:val="28"/>
        </w:rPr>
        <w:t xml:space="preserve">Należy zaznaczyć, że Podkarpacki Wojewódzki Inspektor Inspekcji Handlowej wydając decyzję w niniejszej sprawie oparł się na spójnym materiale dowodowym </w:t>
      </w:r>
      <w:r w:rsidRPr="00B56D88">
        <w:rPr>
          <w:rFonts w:ascii="Arial" w:hAnsi="Arial" w:cs="Arial"/>
          <w:szCs w:val="28"/>
        </w:rPr>
        <w:lastRenderedPageBreak/>
        <w:t xml:space="preserve">pozwalającym jednoznacznie na przyjęcie, że ustalony stan faktyczny uzasadnia wydanie powyższego rozstrzygnięcia. </w:t>
      </w:r>
    </w:p>
    <w:p w14:paraId="1B95372B" w14:textId="69654B5F" w:rsidR="00B56D88" w:rsidRPr="00B56D88" w:rsidRDefault="00B56D88" w:rsidP="00B56D88">
      <w:pPr>
        <w:spacing w:after="120" w:line="360" w:lineRule="auto"/>
        <w:rPr>
          <w:rFonts w:ascii="Arial" w:hAnsi="Arial" w:cs="Arial"/>
          <w:szCs w:val="28"/>
        </w:rPr>
      </w:pPr>
      <w:r w:rsidRPr="00B56D88">
        <w:rPr>
          <w:rFonts w:ascii="Arial" w:hAnsi="Arial" w:cs="Arial"/>
          <w:szCs w:val="28"/>
        </w:rPr>
        <w:t>Podkarpacki Wojewódzki Inspektor Inspekcji Handlowej wydając decyzję oparł się na następujących dowodach: protokole kontroli DP.8361.1.2022 z dnia 14 stycznia 2022 r. wraz z załącznikami, w tym fotografiami produktów zakwestionowanych w zakresie uwidaczniania cen oraz oświadczeniem osoby upoważnionej; zawiadomieniu o wszczęciu postępowania z dnia 9 marca 2022 r.; zawiadomieniu o niezałatwieniu sprawy w terminie z dnia 8 kwietnia 2022 r. oraz przesłanej informacji wskazującej przychód i obrót przedsiębiorcy w 2021 r. – wpływ do Delegatury w Przemyślu w dniu 2 maja 2022 r.</w:t>
      </w:r>
    </w:p>
    <w:p w14:paraId="7DCE87CD" w14:textId="1D6653E2" w:rsidR="0057018B" w:rsidRPr="00B56D88" w:rsidRDefault="00B56D88" w:rsidP="00B56D88">
      <w:pPr>
        <w:spacing w:after="120" w:line="360" w:lineRule="auto"/>
        <w:rPr>
          <w:rFonts w:ascii="Arial" w:hAnsi="Arial" w:cs="Arial"/>
          <w:szCs w:val="28"/>
        </w:rPr>
      </w:pPr>
      <w:r w:rsidRPr="00B56D88">
        <w:rPr>
          <w:rFonts w:ascii="Arial" w:hAnsi="Arial" w:cs="Arial"/>
          <w:szCs w:val="28"/>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B56D88">
        <w:rPr>
          <w:rFonts w:ascii="Arial" w:hAnsi="Arial" w:cs="Arial"/>
          <w:b/>
          <w:szCs w:val="28"/>
        </w:rPr>
        <w:t>NBP O/O w Rzeszowie 67 1010 1528 0016 5822 3100 0000</w:t>
      </w:r>
      <w:r w:rsidRPr="00B56D88">
        <w:rPr>
          <w:rFonts w:ascii="Arial" w:hAnsi="Arial" w:cs="Arial"/>
          <w:bCs/>
          <w:szCs w:val="28"/>
        </w:rPr>
        <w:t>,</w:t>
      </w:r>
      <w:r w:rsidRPr="00B56D88">
        <w:rPr>
          <w:rFonts w:ascii="Arial" w:hAnsi="Arial" w:cs="Arial"/>
          <w:szCs w:val="28"/>
        </w:rPr>
        <w:t xml:space="preserve"> w terminie 7 dni od dnia, w którym decyzja o wymierzeniu kary stała się ostateczna</w:t>
      </w:r>
      <w:r w:rsidR="0057018B" w:rsidRPr="00B56D88">
        <w:rPr>
          <w:rFonts w:ascii="Arial" w:eastAsia="Calibri" w:hAnsi="Arial" w:cs="Arial"/>
          <w:szCs w:val="24"/>
          <w:lang w:eastAsia="en-US"/>
        </w:rPr>
        <w:t>.</w:t>
      </w:r>
    </w:p>
    <w:p w14:paraId="6F515665" w14:textId="77777777" w:rsidR="0057018B" w:rsidRPr="00B56D88" w:rsidRDefault="0057018B" w:rsidP="00A14D51">
      <w:pPr>
        <w:pStyle w:val="Nagwek3"/>
      </w:pPr>
      <w:r w:rsidRPr="00B56D88">
        <w:t>Pouczenie:</w:t>
      </w:r>
    </w:p>
    <w:p w14:paraId="41378EDB" w14:textId="4F349104" w:rsidR="00B56D88" w:rsidRPr="00B56D88" w:rsidRDefault="00B56D88" w:rsidP="00B56D88">
      <w:pPr>
        <w:numPr>
          <w:ilvl w:val="0"/>
          <w:numId w:val="5"/>
        </w:numPr>
        <w:spacing w:line="360" w:lineRule="auto"/>
        <w:rPr>
          <w:rFonts w:ascii="Arial" w:hAnsi="Arial" w:cs="Arial"/>
          <w:szCs w:val="24"/>
        </w:rPr>
      </w:pPr>
      <w:r w:rsidRPr="00B56D88">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CE89375" w14:textId="752C8E04" w:rsidR="00B56D88" w:rsidRPr="00B56D88" w:rsidRDefault="00B56D88" w:rsidP="00B56D88">
      <w:pPr>
        <w:numPr>
          <w:ilvl w:val="0"/>
          <w:numId w:val="5"/>
        </w:numPr>
        <w:spacing w:line="360" w:lineRule="auto"/>
        <w:rPr>
          <w:rFonts w:ascii="Arial" w:hAnsi="Arial" w:cs="Arial"/>
          <w:szCs w:val="24"/>
        </w:rPr>
      </w:pPr>
      <w:r w:rsidRPr="00B56D88">
        <w:rPr>
          <w:rFonts w:ascii="Arial" w:hAnsi="Arial" w:cs="Arial"/>
          <w:szCs w:val="24"/>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316DDA5A" w:rsidR="0057018B" w:rsidRPr="00B56D88" w:rsidRDefault="00B56D88" w:rsidP="00B56D88">
      <w:pPr>
        <w:numPr>
          <w:ilvl w:val="0"/>
          <w:numId w:val="5"/>
        </w:numPr>
        <w:spacing w:line="360" w:lineRule="auto"/>
        <w:rPr>
          <w:rFonts w:ascii="Arial" w:eastAsia="Calibri" w:hAnsi="Arial" w:cs="Arial"/>
          <w:szCs w:val="24"/>
          <w:lang w:eastAsia="en-US"/>
        </w:rPr>
      </w:pPr>
      <w:r w:rsidRPr="00B56D88">
        <w:rPr>
          <w:rFonts w:ascii="Arial" w:hAnsi="Arial" w:cs="Arial"/>
          <w:szCs w:val="24"/>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B56D88">
        <w:rPr>
          <w:rFonts w:ascii="Arial" w:hAnsi="Arial" w:cs="Arial"/>
          <w:szCs w:val="24"/>
        </w:rPr>
        <w:t>późn</w:t>
      </w:r>
      <w:proofErr w:type="spellEnd"/>
      <w:r w:rsidRPr="00B56D88">
        <w:rPr>
          <w:rFonts w:ascii="Arial" w:hAnsi="Arial" w:cs="Arial"/>
          <w:szCs w:val="24"/>
        </w:rPr>
        <w:t xml:space="preserve">. zm.). Kary pieniężne podlegają </w:t>
      </w:r>
      <w:r w:rsidRPr="00B56D88">
        <w:rPr>
          <w:rFonts w:ascii="Arial" w:hAnsi="Arial" w:cs="Arial"/>
          <w:szCs w:val="24"/>
        </w:rPr>
        <w:lastRenderedPageBreak/>
        <w:t>egzekucji w trybie przepisów o postępowaniu egzekucyjnym w administracji w zakresie egzekucji obowiązków o charakterze pieniężnym</w:t>
      </w:r>
      <w:r w:rsidR="0057018B" w:rsidRPr="00B56D88">
        <w:rPr>
          <w:rFonts w:ascii="Arial" w:eastAsia="Calibri" w:hAnsi="Arial" w:cs="Arial"/>
          <w:szCs w:val="24"/>
          <w:lang w:eastAsia="en-US"/>
        </w:rPr>
        <w:t>.</w:t>
      </w:r>
    </w:p>
    <w:p w14:paraId="11515186" w14:textId="55BC5AD6" w:rsidR="0057018B" w:rsidRPr="00B56D88" w:rsidRDefault="00B56D88" w:rsidP="00B56D88">
      <w:pPr>
        <w:pStyle w:val="Nagwek4"/>
        <w:rPr>
          <w:rFonts w:ascii="Arial" w:hAnsi="Arial" w:cs="Arial"/>
          <w:sz w:val="22"/>
          <w:szCs w:val="16"/>
          <w:u w:val="single"/>
        </w:rPr>
      </w:pPr>
      <w:r w:rsidRPr="00B56D88">
        <w:rPr>
          <w:rFonts w:ascii="Arial" w:hAnsi="Arial" w:cs="Arial"/>
        </w:rPr>
        <w:t>Otrzymują:</w:t>
      </w:r>
    </w:p>
    <w:p w14:paraId="24DA9DFD" w14:textId="77777777" w:rsidR="00A14D51" w:rsidRPr="00A14D51" w:rsidRDefault="00A14D51" w:rsidP="00B56D88">
      <w:pPr>
        <w:pStyle w:val="Nagwek"/>
        <w:numPr>
          <w:ilvl w:val="0"/>
          <w:numId w:val="1"/>
        </w:numPr>
        <w:spacing w:before="120" w:line="360" w:lineRule="auto"/>
        <w:ind w:left="714" w:hanging="357"/>
        <w:rPr>
          <w:rFonts w:ascii="Arial" w:hAnsi="Arial" w:cs="Arial"/>
          <w:sz w:val="22"/>
          <w:szCs w:val="16"/>
          <w:lang w:eastAsia="zh-CN"/>
        </w:rPr>
      </w:pPr>
      <w:r w:rsidRPr="00A14D51">
        <w:rPr>
          <w:rFonts w:ascii="Arial" w:hAnsi="Arial" w:cs="Arial"/>
          <w:sz w:val="22"/>
          <w:szCs w:val="16"/>
          <w:lang w:eastAsia="zh-CN"/>
        </w:rPr>
        <w:t>Adresat;</w:t>
      </w:r>
    </w:p>
    <w:p w14:paraId="71EBC361" w14:textId="77777777" w:rsidR="00A14D51" w:rsidRPr="00A14D51" w:rsidRDefault="00A14D51" w:rsidP="00B56D88">
      <w:pPr>
        <w:pStyle w:val="Nagwek"/>
        <w:numPr>
          <w:ilvl w:val="0"/>
          <w:numId w:val="1"/>
        </w:numPr>
        <w:spacing w:before="120" w:line="360" w:lineRule="auto"/>
        <w:ind w:left="714" w:hanging="357"/>
        <w:rPr>
          <w:rFonts w:ascii="Arial" w:hAnsi="Arial" w:cs="Arial"/>
          <w:sz w:val="22"/>
          <w:szCs w:val="16"/>
          <w:lang w:eastAsia="zh-CN"/>
        </w:rPr>
      </w:pPr>
      <w:r w:rsidRPr="00A14D51">
        <w:rPr>
          <w:rFonts w:ascii="Arial" w:hAnsi="Arial" w:cs="Arial"/>
          <w:sz w:val="22"/>
          <w:szCs w:val="16"/>
          <w:lang w:eastAsia="zh-CN"/>
        </w:rPr>
        <w:t>Wydz. BA;</w:t>
      </w:r>
    </w:p>
    <w:p w14:paraId="3ABA21BF" w14:textId="7CB36396" w:rsidR="008D6352" w:rsidRPr="00B56D88" w:rsidRDefault="00A14D51" w:rsidP="00B56D88">
      <w:pPr>
        <w:pStyle w:val="Nagwek"/>
        <w:numPr>
          <w:ilvl w:val="0"/>
          <w:numId w:val="1"/>
        </w:numPr>
        <w:spacing w:before="120" w:line="360" w:lineRule="auto"/>
        <w:ind w:left="714" w:hanging="357"/>
        <w:rPr>
          <w:rFonts w:ascii="Arial" w:hAnsi="Arial" w:cs="Arial"/>
          <w:szCs w:val="24"/>
        </w:rPr>
      </w:pPr>
      <w:r w:rsidRPr="00B56D88">
        <w:rPr>
          <w:rFonts w:ascii="Arial" w:hAnsi="Arial" w:cs="Arial"/>
          <w:sz w:val="22"/>
          <w:szCs w:val="16"/>
          <w:lang w:val="pl-PL" w:eastAsia="zh-CN"/>
        </w:rPr>
        <w:t>Aa (DP/P.W., po-</w:t>
      </w:r>
      <w:proofErr w:type="spellStart"/>
      <w:r w:rsidRPr="00B56D88">
        <w:rPr>
          <w:rFonts w:ascii="Arial" w:hAnsi="Arial" w:cs="Arial"/>
          <w:sz w:val="22"/>
          <w:szCs w:val="16"/>
          <w:lang w:val="pl-PL" w:eastAsia="zh-CN"/>
        </w:rPr>
        <w:t>m.o</w:t>
      </w:r>
      <w:proofErr w:type="spellEnd"/>
      <w:r w:rsidRPr="00B56D88">
        <w:rPr>
          <w:rFonts w:ascii="Arial" w:hAnsi="Arial" w:cs="Arial"/>
          <w:sz w:val="22"/>
          <w:szCs w:val="16"/>
          <w:lang w:val="pl-PL" w:eastAsia="zh-CN"/>
        </w:rPr>
        <w:t>.)</w:t>
      </w:r>
      <w:r w:rsidR="0057018B" w:rsidRPr="00B56D88">
        <w:rPr>
          <w:rFonts w:ascii="Arial" w:hAnsi="Arial" w:cs="Arial"/>
          <w:sz w:val="22"/>
          <w:szCs w:val="16"/>
          <w:lang w:val="pl-PL" w:eastAsia="pl-PL"/>
        </w:rPr>
        <w:t>.</w:t>
      </w:r>
    </w:p>
    <w:p w14:paraId="45A6F4A7" w14:textId="082D4838" w:rsidR="003B7C7E" w:rsidRPr="00B56D88" w:rsidRDefault="003B7C7E" w:rsidP="00A14D51">
      <w:pPr>
        <w:spacing w:before="240" w:line="360" w:lineRule="auto"/>
        <w:rPr>
          <w:rFonts w:ascii="Arial" w:hAnsi="Arial" w:cs="Arial"/>
          <w:szCs w:val="24"/>
        </w:rPr>
      </w:pPr>
      <w:r w:rsidRPr="00B56D88">
        <w:rPr>
          <w:rFonts w:ascii="Arial" w:hAnsi="Arial" w:cs="Arial"/>
          <w:szCs w:val="24"/>
        </w:rPr>
        <w:t>PODKARPACKI WOJEWÓDZKI INSPEKTOR INSPEKCJI HANDLOWEJ Jerzy Szczepański</w:t>
      </w:r>
    </w:p>
    <w:sectPr w:rsidR="003B7C7E" w:rsidRPr="00B56D88"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5828" w14:textId="77777777" w:rsidR="006705DB" w:rsidRDefault="006705DB">
      <w:r>
        <w:separator/>
      </w:r>
    </w:p>
  </w:endnote>
  <w:endnote w:type="continuationSeparator" w:id="0">
    <w:p w14:paraId="7133D31E" w14:textId="77777777" w:rsidR="006705DB" w:rsidRDefault="0067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2F89" w14:textId="77777777" w:rsidR="006705DB" w:rsidRDefault="006705DB">
      <w:r>
        <w:separator/>
      </w:r>
    </w:p>
  </w:footnote>
  <w:footnote w:type="continuationSeparator" w:id="0">
    <w:p w14:paraId="20851E6C" w14:textId="77777777" w:rsidR="006705DB" w:rsidRDefault="00670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01E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660" w:hanging="360"/>
      </w:pPr>
    </w:lvl>
    <w:lvl w:ilvl="2" w:tplc="0415001B" w:tentative="1">
      <w:start w:val="1"/>
      <w:numFmt w:val="lowerRoman"/>
      <w:lvlText w:val="%3."/>
      <w:lvlJc w:val="right"/>
      <w:pPr>
        <w:ind w:left="60" w:hanging="180"/>
      </w:pPr>
    </w:lvl>
    <w:lvl w:ilvl="3" w:tplc="0415000F" w:tentative="1">
      <w:start w:val="1"/>
      <w:numFmt w:val="decimal"/>
      <w:lvlText w:val="%4."/>
      <w:lvlJc w:val="left"/>
      <w:pPr>
        <w:ind w:left="780" w:hanging="360"/>
      </w:pPr>
    </w:lvl>
    <w:lvl w:ilvl="4" w:tplc="04150019" w:tentative="1">
      <w:start w:val="1"/>
      <w:numFmt w:val="lowerLetter"/>
      <w:lvlText w:val="%5."/>
      <w:lvlJc w:val="left"/>
      <w:pPr>
        <w:ind w:left="1500" w:hanging="360"/>
      </w:pPr>
    </w:lvl>
    <w:lvl w:ilvl="5" w:tplc="0415001B" w:tentative="1">
      <w:start w:val="1"/>
      <w:numFmt w:val="lowerRoman"/>
      <w:lvlText w:val="%6."/>
      <w:lvlJc w:val="right"/>
      <w:pPr>
        <w:ind w:left="2220" w:hanging="180"/>
      </w:pPr>
    </w:lvl>
    <w:lvl w:ilvl="6" w:tplc="0415000F" w:tentative="1">
      <w:start w:val="1"/>
      <w:numFmt w:val="decimal"/>
      <w:lvlText w:val="%7."/>
      <w:lvlJc w:val="left"/>
      <w:pPr>
        <w:ind w:left="2940" w:hanging="360"/>
      </w:pPr>
    </w:lvl>
    <w:lvl w:ilvl="7" w:tplc="04150019" w:tentative="1">
      <w:start w:val="1"/>
      <w:numFmt w:val="lowerLetter"/>
      <w:lvlText w:val="%8."/>
      <w:lvlJc w:val="left"/>
      <w:pPr>
        <w:ind w:left="3660" w:hanging="360"/>
      </w:pPr>
    </w:lvl>
    <w:lvl w:ilvl="8" w:tplc="0415001B" w:tentative="1">
      <w:start w:val="1"/>
      <w:numFmt w:val="lowerRoman"/>
      <w:lvlText w:val="%9."/>
      <w:lvlJc w:val="right"/>
      <w:pPr>
        <w:ind w:left="4380" w:hanging="180"/>
      </w:pPr>
    </w:lvl>
  </w:abstractNum>
  <w:abstractNum w:abstractNumId="3"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7667E8"/>
    <w:multiLevelType w:val="hybridMultilevel"/>
    <w:tmpl w:val="238C0F96"/>
    <w:lvl w:ilvl="0" w:tplc="B94C391A">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4E4720"/>
    <w:multiLevelType w:val="hybridMultilevel"/>
    <w:tmpl w:val="A6AA3B02"/>
    <w:lvl w:ilvl="0" w:tplc="EEACFF0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DA61E2F"/>
    <w:multiLevelType w:val="hybridMultilevel"/>
    <w:tmpl w:val="BA70132A"/>
    <w:lvl w:ilvl="0" w:tplc="958EFF86">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 w15:restartNumberingAfterBreak="0">
    <w:nsid w:val="1E642362"/>
    <w:multiLevelType w:val="hybridMultilevel"/>
    <w:tmpl w:val="EFE25750"/>
    <w:lvl w:ilvl="0" w:tplc="958EFF86">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0"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C487EF4"/>
    <w:multiLevelType w:val="hybridMultilevel"/>
    <w:tmpl w:val="66F2B3D4"/>
    <w:lvl w:ilvl="0" w:tplc="0415000F">
      <w:start w:val="1"/>
      <w:numFmt w:val="decimal"/>
      <w:lvlText w:val="%1."/>
      <w:lvlJc w:val="left"/>
      <w:pPr>
        <w:tabs>
          <w:tab w:val="num" w:pos="2460"/>
        </w:tabs>
        <w:ind w:left="2460" w:hanging="360"/>
      </w:pPr>
      <w:rPr>
        <w:rFonts w:hint="default"/>
      </w:rPr>
    </w:lvl>
    <w:lvl w:ilvl="1" w:tplc="8416AA36">
      <w:start w:val="1"/>
      <w:numFmt w:val="decimal"/>
      <w:lvlText w:val="%2."/>
      <w:lvlJc w:val="left"/>
      <w:pPr>
        <w:tabs>
          <w:tab w:val="num" w:pos="3720"/>
        </w:tabs>
        <w:ind w:left="3360" w:firstLine="0"/>
      </w:pPr>
      <w:rPr>
        <w:rFonts w:hint="default"/>
      </w:rPr>
    </w:lvl>
    <w:lvl w:ilvl="2" w:tplc="0415001B">
      <w:start w:val="1"/>
      <w:numFmt w:val="lowerRoman"/>
      <w:lvlText w:val="%3."/>
      <w:lvlJc w:val="right"/>
      <w:pPr>
        <w:tabs>
          <w:tab w:val="num" w:pos="1950"/>
        </w:tabs>
        <w:ind w:left="1950" w:hanging="180"/>
      </w:pPr>
    </w:lvl>
    <w:lvl w:ilvl="3" w:tplc="0415000F">
      <w:start w:val="1"/>
      <w:numFmt w:val="decimal"/>
      <w:lvlText w:val="%4."/>
      <w:lvlJc w:val="left"/>
      <w:pPr>
        <w:tabs>
          <w:tab w:val="num" w:pos="2670"/>
        </w:tabs>
        <w:ind w:left="2670" w:hanging="360"/>
      </w:pPr>
      <w:rPr>
        <w:rFonts w:hint="default"/>
      </w:r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2" w15:restartNumberingAfterBreak="0">
    <w:nsid w:val="35930A9C"/>
    <w:multiLevelType w:val="multilevel"/>
    <w:tmpl w:val="75C6C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D245150"/>
    <w:multiLevelType w:val="hybridMultilevel"/>
    <w:tmpl w:val="C956727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D0578C9"/>
    <w:multiLevelType w:val="hybridMultilevel"/>
    <w:tmpl w:val="83B2E5AA"/>
    <w:lvl w:ilvl="0" w:tplc="8FE4BC2C">
      <w:start w:val="1"/>
      <w:numFmt w:val="bullet"/>
      <w:lvlText w:val=""/>
      <w:lvlJc w:val="left"/>
      <w:pPr>
        <w:tabs>
          <w:tab w:val="num" w:pos="340"/>
        </w:tabs>
        <w:ind w:left="340" w:hanging="34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E821B25"/>
    <w:multiLevelType w:val="hybridMultilevel"/>
    <w:tmpl w:val="A3300182"/>
    <w:lvl w:ilvl="0" w:tplc="2806DDE6">
      <w:start w:val="1"/>
      <w:numFmt w:val="lowerLetter"/>
      <w:lvlText w:val="%1)"/>
      <w:lvlJc w:val="left"/>
      <w:pPr>
        <w:ind w:left="340" w:hanging="340"/>
      </w:pPr>
      <w:rPr>
        <w:rFonts w:hint="default"/>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56E1E7B"/>
    <w:multiLevelType w:val="hybridMultilevel"/>
    <w:tmpl w:val="2174BDA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660" w:hanging="360"/>
      </w:pPr>
    </w:lvl>
    <w:lvl w:ilvl="2" w:tplc="0415001B" w:tentative="1">
      <w:start w:val="1"/>
      <w:numFmt w:val="lowerRoman"/>
      <w:lvlText w:val="%3."/>
      <w:lvlJc w:val="right"/>
      <w:pPr>
        <w:ind w:left="60" w:hanging="180"/>
      </w:pPr>
    </w:lvl>
    <w:lvl w:ilvl="3" w:tplc="0415000F" w:tentative="1">
      <w:start w:val="1"/>
      <w:numFmt w:val="decimal"/>
      <w:lvlText w:val="%4."/>
      <w:lvlJc w:val="left"/>
      <w:pPr>
        <w:ind w:left="780" w:hanging="360"/>
      </w:pPr>
    </w:lvl>
    <w:lvl w:ilvl="4" w:tplc="04150019" w:tentative="1">
      <w:start w:val="1"/>
      <w:numFmt w:val="lowerLetter"/>
      <w:lvlText w:val="%5."/>
      <w:lvlJc w:val="left"/>
      <w:pPr>
        <w:ind w:left="1500" w:hanging="360"/>
      </w:pPr>
    </w:lvl>
    <w:lvl w:ilvl="5" w:tplc="0415001B" w:tentative="1">
      <w:start w:val="1"/>
      <w:numFmt w:val="lowerRoman"/>
      <w:lvlText w:val="%6."/>
      <w:lvlJc w:val="right"/>
      <w:pPr>
        <w:ind w:left="2220" w:hanging="180"/>
      </w:pPr>
    </w:lvl>
    <w:lvl w:ilvl="6" w:tplc="0415000F" w:tentative="1">
      <w:start w:val="1"/>
      <w:numFmt w:val="decimal"/>
      <w:lvlText w:val="%7."/>
      <w:lvlJc w:val="left"/>
      <w:pPr>
        <w:ind w:left="2940" w:hanging="360"/>
      </w:pPr>
    </w:lvl>
    <w:lvl w:ilvl="7" w:tplc="04150019" w:tentative="1">
      <w:start w:val="1"/>
      <w:numFmt w:val="lowerLetter"/>
      <w:lvlText w:val="%8."/>
      <w:lvlJc w:val="left"/>
      <w:pPr>
        <w:ind w:left="3660" w:hanging="360"/>
      </w:pPr>
    </w:lvl>
    <w:lvl w:ilvl="8" w:tplc="0415001B" w:tentative="1">
      <w:start w:val="1"/>
      <w:numFmt w:val="lowerRoman"/>
      <w:lvlText w:val="%9."/>
      <w:lvlJc w:val="right"/>
      <w:pPr>
        <w:ind w:left="4380" w:hanging="180"/>
      </w:pPr>
    </w:lvl>
  </w:abstractNum>
  <w:abstractNum w:abstractNumId="17"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3B97CFF"/>
    <w:multiLevelType w:val="hybridMultilevel"/>
    <w:tmpl w:val="2ABE3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2"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pStyle w:val="Tekstpodstawowyzwciciem"/>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EE4C51"/>
    <w:multiLevelType w:val="hybridMultilevel"/>
    <w:tmpl w:val="3330475A"/>
    <w:lvl w:ilvl="0" w:tplc="A9B2B84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4140725">
    <w:abstractNumId w:val="24"/>
  </w:num>
  <w:num w:numId="2" w16cid:durableId="755856837">
    <w:abstractNumId w:val="3"/>
  </w:num>
  <w:num w:numId="3" w16cid:durableId="1011568581">
    <w:abstractNumId w:val="18"/>
  </w:num>
  <w:num w:numId="4" w16cid:durableId="2045982488">
    <w:abstractNumId w:val="17"/>
  </w:num>
  <w:num w:numId="5" w16cid:durableId="978417063">
    <w:abstractNumId w:val="23"/>
  </w:num>
  <w:num w:numId="6" w16cid:durableId="1597709946">
    <w:abstractNumId w:val="21"/>
  </w:num>
  <w:num w:numId="7" w16cid:durableId="1929119673">
    <w:abstractNumId w:val="7"/>
  </w:num>
  <w:num w:numId="8" w16cid:durableId="556356787">
    <w:abstractNumId w:val="22"/>
  </w:num>
  <w:num w:numId="9" w16cid:durableId="1600720063">
    <w:abstractNumId w:val="8"/>
  </w:num>
  <w:num w:numId="10" w16cid:durableId="1717849740">
    <w:abstractNumId w:val="11"/>
  </w:num>
  <w:num w:numId="11" w16cid:durableId="455564784">
    <w:abstractNumId w:val="0"/>
  </w:num>
  <w:num w:numId="12" w16cid:durableId="221990900">
    <w:abstractNumId w:val="4"/>
  </w:num>
  <w:num w:numId="13" w16cid:durableId="444428282">
    <w:abstractNumId w:val="25"/>
  </w:num>
  <w:num w:numId="14" w16cid:durableId="1902706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281153">
    <w:abstractNumId w:val="5"/>
  </w:num>
  <w:num w:numId="16" w16cid:durableId="849217621">
    <w:abstractNumId w:val="15"/>
  </w:num>
  <w:num w:numId="17" w16cid:durableId="1656185012">
    <w:abstractNumId w:val="14"/>
  </w:num>
  <w:num w:numId="18" w16cid:durableId="792209249">
    <w:abstractNumId w:val="16"/>
  </w:num>
  <w:num w:numId="19" w16cid:durableId="2049142629">
    <w:abstractNumId w:val="20"/>
  </w:num>
  <w:num w:numId="20" w16cid:durableId="1167359590">
    <w:abstractNumId w:val="2"/>
  </w:num>
  <w:num w:numId="21" w16cid:durableId="1449394796">
    <w:abstractNumId w:val="13"/>
  </w:num>
  <w:num w:numId="22" w16cid:durableId="1501506209">
    <w:abstractNumId w:val="5"/>
  </w:num>
  <w:num w:numId="23" w16cid:durableId="6382627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1860498">
    <w:abstractNumId w:val="14"/>
  </w:num>
  <w:num w:numId="25" w16cid:durableId="7251084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4996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51799589">
    <w:abstractNumId w:val="19"/>
  </w:num>
  <w:num w:numId="28" w16cid:durableId="653803183">
    <w:abstractNumId w:val="10"/>
  </w:num>
  <w:num w:numId="29" w16cid:durableId="2093432001">
    <w:abstractNumId w:val="6"/>
  </w:num>
  <w:num w:numId="30" w16cid:durableId="10607105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510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3C2D"/>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05DB"/>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57E60"/>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14D51"/>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6D88"/>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6667F"/>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link w:val="Nagwek1Znak"/>
    <w:qFormat/>
    <w:pPr>
      <w:keepNext/>
      <w:jc w:val="center"/>
      <w:outlineLvl w:val="0"/>
    </w:pPr>
    <w:rPr>
      <w:b/>
    </w:rPr>
  </w:style>
  <w:style w:type="paragraph" w:styleId="Nagwek2">
    <w:name w:val="heading 2"/>
    <w:basedOn w:val="Normalny"/>
    <w:next w:val="Normalny"/>
    <w:link w:val="Nagwek2Znak"/>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pPr>
      <w:keepNext/>
      <w:tabs>
        <w:tab w:val="left" w:pos="709"/>
        <w:tab w:val="left" w:pos="4253"/>
      </w:tabs>
      <w:jc w:val="both"/>
      <w:outlineLvl w:val="3"/>
    </w:pPr>
    <w:rPr>
      <w:b/>
    </w:rPr>
  </w:style>
  <w:style w:type="paragraph" w:styleId="Nagwek5">
    <w:name w:val="heading 5"/>
    <w:basedOn w:val="Normalny"/>
    <w:next w:val="Normalny"/>
    <w:link w:val="Nagwek5Znak"/>
    <w:qFormat/>
    <w:pPr>
      <w:keepNext/>
      <w:spacing w:line="360" w:lineRule="auto"/>
      <w:jc w:val="right"/>
      <w:outlineLvl w:val="4"/>
    </w:pPr>
    <w:rPr>
      <w:b/>
    </w:rPr>
  </w:style>
  <w:style w:type="paragraph" w:styleId="Nagwek6">
    <w:name w:val="heading 6"/>
    <w:basedOn w:val="Normalny"/>
    <w:next w:val="Normalny"/>
    <w:link w:val="Nagwek6Znak"/>
    <w:qFormat/>
    <w:rsid w:val="00A14D51"/>
    <w:pPr>
      <w:keepNext/>
      <w:ind w:firstLine="5250"/>
      <w:outlineLvl w:val="5"/>
    </w:pPr>
    <w:rPr>
      <w:b/>
      <w:bCs/>
      <w:i/>
      <w:iCs/>
      <w:szCs w:val="24"/>
    </w:rPr>
  </w:style>
  <w:style w:type="paragraph" w:styleId="Nagwek7">
    <w:name w:val="heading 7"/>
    <w:basedOn w:val="Normalny"/>
    <w:next w:val="Normalny"/>
    <w:link w:val="Nagwek7Znak"/>
    <w:qFormat/>
    <w:rsid w:val="00A14D51"/>
    <w:pPr>
      <w:keepNext/>
      <w:ind w:left="5145"/>
      <w:outlineLvl w:val="6"/>
    </w:pPr>
    <w:rPr>
      <w:b/>
      <w:bCs/>
      <w:sz w:val="28"/>
      <w:szCs w:val="24"/>
    </w:rPr>
  </w:style>
  <w:style w:type="paragraph" w:styleId="Nagwek8">
    <w:name w:val="heading 8"/>
    <w:basedOn w:val="Normalny"/>
    <w:next w:val="Normalny"/>
    <w:link w:val="Nagwek8Znak"/>
    <w:qFormat/>
    <w:rsid w:val="00A14D51"/>
    <w:pPr>
      <w:keepNext/>
      <w:jc w:val="both"/>
      <w:outlineLvl w:val="7"/>
    </w:pPr>
    <w:rPr>
      <w:bCs/>
      <w:i/>
      <w:iCs/>
      <w:sz w:val="28"/>
    </w:rPr>
  </w:style>
  <w:style w:type="paragraph" w:styleId="Nagwek9">
    <w:name w:val="heading 9"/>
    <w:basedOn w:val="Normalny"/>
    <w:next w:val="Normalny"/>
    <w:link w:val="Nagwek9Znak"/>
    <w:qFormat/>
    <w:rsid w:val="00A14D51"/>
    <w:pPr>
      <w:keepNext/>
      <w:jc w:val="both"/>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1"/>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paragraph" w:styleId="Tytu">
    <w:name w:val="Title"/>
    <w:basedOn w:val="Normalny"/>
    <w:next w:val="Normalny"/>
    <w:link w:val="TytuZnak"/>
    <w:qFormat/>
    <w:rsid w:val="00A14D51"/>
    <w:pPr>
      <w:contextualSpacing/>
    </w:pPr>
    <w:rPr>
      <w:rFonts w:asciiTheme="majorHAnsi" w:eastAsiaTheme="majorEastAsia" w:hAnsiTheme="majorHAnsi" w:cstheme="majorBidi"/>
      <w:spacing w:val="-10"/>
      <w:kern w:val="28"/>
      <w:sz w:val="56"/>
      <w:szCs w:val="56"/>
    </w:rPr>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character" w:customStyle="1" w:styleId="TytuZnak">
    <w:name w:val="Tytuł Znak"/>
    <w:basedOn w:val="Domylnaczcionkaakapitu"/>
    <w:link w:val="Tytu"/>
    <w:rsid w:val="00A14D51"/>
    <w:rPr>
      <w:rFonts w:asciiTheme="majorHAnsi" w:eastAsiaTheme="majorEastAsia" w:hAnsiTheme="majorHAnsi" w:cstheme="majorBidi"/>
      <w:spacing w:val="-10"/>
      <w:kern w:val="28"/>
      <w:sz w:val="56"/>
      <w:szCs w:val="56"/>
    </w:rPr>
  </w:style>
  <w:style w:type="character" w:customStyle="1" w:styleId="Nagwek6Znak">
    <w:name w:val="Nagłówek 6 Znak"/>
    <w:basedOn w:val="Domylnaczcionkaakapitu"/>
    <w:link w:val="Nagwek6"/>
    <w:rsid w:val="00A14D51"/>
    <w:rPr>
      <w:b/>
      <w:bCs/>
      <w:i/>
      <w:iCs/>
      <w:sz w:val="24"/>
      <w:szCs w:val="24"/>
    </w:rPr>
  </w:style>
  <w:style w:type="character" w:customStyle="1" w:styleId="Nagwek7Znak">
    <w:name w:val="Nagłówek 7 Znak"/>
    <w:basedOn w:val="Domylnaczcionkaakapitu"/>
    <w:link w:val="Nagwek7"/>
    <w:rsid w:val="00A14D51"/>
    <w:rPr>
      <w:b/>
      <w:bCs/>
      <w:sz w:val="28"/>
      <w:szCs w:val="24"/>
    </w:rPr>
  </w:style>
  <w:style w:type="character" w:customStyle="1" w:styleId="Nagwek8Znak">
    <w:name w:val="Nagłówek 8 Znak"/>
    <w:basedOn w:val="Domylnaczcionkaakapitu"/>
    <w:link w:val="Nagwek8"/>
    <w:rsid w:val="00A14D51"/>
    <w:rPr>
      <w:bCs/>
      <w:i/>
      <w:iCs/>
      <w:sz w:val="28"/>
    </w:rPr>
  </w:style>
  <w:style w:type="character" w:customStyle="1" w:styleId="Nagwek9Znak">
    <w:name w:val="Nagłówek 9 Znak"/>
    <w:basedOn w:val="Domylnaczcionkaakapitu"/>
    <w:link w:val="Nagwek9"/>
    <w:rsid w:val="00A14D51"/>
    <w:rPr>
      <w:b/>
      <w:bCs/>
      <w:i/>
      <w:iCs/>
      <w:sz w:val="24"/>
    </w:rPr>
  </w:style>
  <w:style w:type="character" w:customStyle="1" w:styleId="Nagwek1Znak">
    <w:name w:val="Nagłówek 1 Znak"/>
    <w:basedOn w:val="Domylnaczcionkaakapitu"/>
    <w:link w:val="Nagwek1"/>
    <w:rsid w:val="00A14D51"/>
    <w:rPr>
      <w:b/>
      <w:sz w:val="24"/>
    </w:rPr>
  </w:style>
  <w:style w:type="character" w:customStyle="1" w:styleId="Nagwek2Znak">
    <w:name w:val="Nagłówek 2 Znak"/>
    <w:basedOn w:val="Domylnaczcionkaakapitu"/>
    <w:link w:val="Nagwek2"/>
    <w:rsid w:val="00A14D51"/>
    <w:rPr>
      <w:rFonts w:ascii="Arial" w:hAnsi="Arial" w:cs="Arial"/>
      <w:b/>
      <w:sz w:val="24"/>
    </w:rPr>
  </w:style>
  <w:style w:type="character" w:customStyle="1" w:styleId="Nagwek3Znak">
    <w:name w:val="Nagłówek 3 Znak"/>
    <w:basedOn w:val="Domylnaczcionkaakapitu"/>
    <w:link w:val="Nagwek3"/>
    <w:rsid w:val="00A14D51"/>
    <w:rPr>
      <w:rFonts w:ascii="Arial" w:hAnsi="Arial" w:cs="Arial"/>
      <w:bCs/>
      <w:sz w:val="24"/>
      <w:szCs w:val="24"/>
    </w:rPr>
  </w:style>
  <w:style w:type="character" w:customStyle="1" w:styleId="Nagwek4Znak">
    <w:name w:val="Nagłówek 4 Znak"/>
    <w:basedOn w:val="Domylnaczcionkaakapitu"/>
    <w:link w:val="Nagwek4"/>
    <w:rsid w:val="00A14D51"/>
    <w:rPr>
      <w:b/>
      <w:sz w:val="24"/>
    </w:rPr>
  </w:style>
  <w:style w:type="character" w:customStyle="1" w:styleId="Nagwek5Znak">
    <w:name w:val="Nagłówek 5 Znak"/>
    <w:basedOn w:val="Domylnaczcionkaakapitu"/>
    <w:link w:val="Nagwek5"/>
    <w:rsid w:val="00A14D51"/>
    <w:rPr>
      <w:b/>
      <w:sz w:val="24"/>
    </w:rPr>
  </w:style>
  <w:style w:type="paragraph" w:styleId="Tekstpodstawowywcity">
    <w:name w:val="Body Text Indent"/>
    <w:basedOn w:val="Normalny"/>
    <w:link w:val="TekstpodstawowywcityZnak"/>
    <w:rsid w:val="00A14D51"/>
    <w:pPr>
      <w:ind w:firstLine="708"/>
      <w:jc w:val="both"/>
    </w:pPr>
    <w:rPr>
      <w:sz w:val="28"/>
      <w:szCs w:val="24"/>
    </w:rPr>
  </w:style>
  <w:style w:type="character" w:customStyle="1" w:styleId="TekstpodstawowywcityZnak">
    <w:name w:val="Tekst podstawowy wcięty Znak"/>
    <w:basedOn w:val="Domylnaczcionkaakapitu"/>
    <w:link w:val="Tekstpodstawowywcity"/>
    <w:rsid w:val="00A14D51"/>
    <w:rPr>
      <w:sz w:val="28"/>
      <w:szCs w:val="24"/>
    </w:rPr>
  </w:style>
  <w:style w:type="character" w:customStyle="1" w:styleId="TekstpodstawowyZnak">
    <w:name w:val="Tekst podstawowy Znak"/>
    <w:basedOn w:val="Domylnaczcionkaakapitu"/>
    <w:rsid w:val="00A14D51"/>
    <w:rPr>
      <w:sz w:val="28"/>
      <w:szCs w:val="24"/>
    </w:rPr>
  </w:style>
  <w:style w:type="paragraph" w:styleId="Tekstpodstawowywcity2">
    <w:name w:val="Body Text Indent 2"/>
    <w:basedOn w:val="Normalny"/>
    <w:link w:val="Tekstpodstawowywcity2Znak"/>
    <w:rsid w:val="00A14D51"/>
    <w:pPr>
      <w:ind w:left="4515"/>
      <w:jc w:val="both"/>
    </w:pPr>
    <w:rPr>
      <w:b/>
      <w:bCs/>
      <w:sz w:val="28"/>
      <w:szCs w:val="24"/>
    </w:rPr>
  </w:style>
  <w:style w:type="character" w:customStyle="1" w:styleId="Tekstpodstawowywcity2Znak">
    <w:name w:val="Tekst podstawowy wcięty 2 Znak"/>
    <w:basedOn w:val="Domylnaczcionkaakapitu"/>
    <w:link w:val="Tekstpodstawowywcity2"/>
    <w:rsid w:val="00A14D51"/>
    <w:rPr>
      <w:b/>
      <w:bCs/>
      <w:sz w:val="28"/>
      <w:szCs w:val="24"/>
    </w:rPr>
  </w:style>
  <w:style w:type="paragraph" w:styleId="Tekstpodstawowywcity3">
    <w:name w:val="Body Text Indent 3"/>
    <w:basedOn w:val="Normalny"/>
    <w:link w:val="Tekstpodstawowywcity3Znak"/>
    <w:rsid w:val="00A14D51"/>
    <w:pPr>
      <w:tabs>
        <w:tab w:val="left" w:pos="2205"/>
      </w:tabs>
      <w:ind w:left="4620"/>
    </w:pPr>
    <w:rPr>
      <w:sz w:val="28"/>
      <w:szCs w:val="24"/>
    </w:rPr>
  </w:style>
  <w:style w:type="character" w:customStyle="1" w:styleId="Tekstpodstawowywcity3Znak">
    <w:name w:val="Tekst podstawowy wcięty 3 Znak"/>
    <w:basedOn w:val="Domylnaczcionkaakapitu"/>
    <w:link w:val="Tekstpodstawowywcity3"/>
    <w:rsid w:val="00A14D51"/>
    <w:rPr>
      <w:sz w:val="28"/>
      <w:szCs w:val="24"/>
    </w:rPr>
  </w:style>
  <w:style w:type="paragraph" w:styleId="Tekstblokowy">
    <w:name w:val="Block Text"/>
    <w:basedOn w:val="Normalny"/>
    <w:rsid w:val="00A14D51"/>
    <w:pPr>
      <w:spacing w:line="360" w:lineRule="auto"/>
      <w:ind w:left="4200" w:right="-117" w:hanging="162"/>
    </w:pPr>
    <w:rPr>
      <w:b/>
      <w:bCs/>
      <w:sz w:val="28"/>
      <w:szCs w:val="24"/>
    </w:rPr>
  </w:style>
  <w:style w:type="paragraph" w:styleId="Tekstpodstawowy2">
    <w:name w:val="Body Text 2"/>
    <w:basedOn w:val="Normalny"/>
    <w:link w:val="Tekstpodstawowy2Znak"/>
    <w:rsid w:val="00A14D51"/>
    <w:pPr>
      <w:spacing w:line="360" w:lineRule="auto"/>
      <w:jc w:val="both"/>
    </w:pPr>
    <w:rPr>
      <w:szCs w:val="24"/>
    </w:rPr>
  </w:style>
  <w:style w:type="character" w:customStyle="1" w:styleId="Tekstpodstawowy2Znak">
    <w:name w:val="Tekst podstawowy 2 Znak"/>
    <w:basedOn w:val="Domylnaczcionkaakapitu"/>
    <w:link w:val="Tekstpodstawowy2"/>
    <w:rsid w:val="00A14D51"/>
    <w:rPr>
      <w:sz w:val="24"/>
      <w:szCs w:val="24"/>
    </w:rPr>
  </w:style>
  <w:style w:type="paragraph" w:styleId="Tekstpodstawowy3">
    <w:name w:val="Body Text 3"/>
    <w:basedOn w:val="Normalny"/>
    <w:link w:val="Tekstpodstawowy3Znak"/>
    <w:rsid w:val="00A14D51"/>
    <w:pPr>
      <w:spacing w:before="240"/>
      <w:jc w:val="both"/>
    </w:pPr>
    <w:rPr>
      <w:rFonts w:ascii="Bookman Old Style" w:hAnsi="Bookman Old Style"/>
    </w:rPr>
  </w:style>
  <w:style w:type="character" w:customStyle="1" w:styleId="Tekstpodstawowy3Znak">
    <w:name w:val="Tekst podstawowy 3 Znak"/>
    <w:basedOn w:val="Domylnaczcionkaakapitu"/>
    <w:link w:val="Tekstpodstawowy3"/>
    <w:rsid w:val="00A14D51"/>
    <w:rPr>
      <w:rFonts w:ascii="Bookman Old Style" w:hAnsi="Bookman Old Style"/>
      <w:sz w:val="24"/>
    </w:rPr>
  </w:style>
  <w:style w:type="paragraph" w:styleId="Lista">
    <w:name w:val="List"/>
    <w:basedOn w:val="Normalny"/>
    <w:rsid w:val="00A14D51"/>
    <w:pPr>
      <w:ind w:left="283" w:hanging="283"/>
    </w:pPr>
    <w:rPr>
      <w:rFonts w:ascii="Bookman Old Style" w:hAnsi="Bookman Old Style"/>
      <w:sz w:val="20"/>
    </w:rPr>
  </w:style>
  <w:style w:type="character" w:customStyle="1" w:styleId="oznaczenie">
    <w:name w:val="oznaczenie"/>
    <w:basedOn w:val="Domylnaczcionkaakapitu"/>
    <w:rsid w:val="00A14D51"/>
  </w:style>
  <w:style w:type="table" w:styleId="Tabela-Siatka">
    <w:name w:val="Table Grid"/>
    <w:basedOn w:val="Standardowy"/>
    <w:rsid w:val="00A14D51"/>
    <w:pPr>
      <w:numPr>
        <w:ilvl w:val="1"/>
        <w:numId w:val="30"/>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style23">
    <w:name w:val="style10 style23"/>
    <w:basedOn w:val="Normalny"/>
    <w:rsid w:val="00A14D51"/>
    <w:pPr>
      <w:spacing w:before="100" w:beforeAutospacing="1" w:after="100" w:afterAutospacing="1"/>
    </w:pPr>
    <w:rPr>
      <w:szCs w:val="24"/>
    </w:rPr>
  </w:style>
  <w:style w:type="character" w:customStyle="1" w:styleId="style241">
    <w:name w:val="style241"/>
    <w:rsid w:val="00A14D51"/>
    <w:rPr>
      <w:sz w:val="30"/>
      <w:szCs w:val="30"/>
    </w:rPr>
  </w:style>
  <w:style w:type="paragraph" w:styleId="Tekstpodstawowyzwciciem">
    <w:name w:val="Body Text First Indent"/>
    <w:basedOn w:val="Tekstpodstawowy"/>
    <w:link w:val="TekstpodstawowyzwciciemZnak"/>
    <w:rsid w:val="00A14D51"/>
    <w:pPr>
      <w:numPr>
        <w:ilvl w:val="1"/>
        <w:numId w:val="1"/>
      </w:numPr>
      <w:spacing w:after="120"/>
      <w:ind w:firstLine="210"/>
    </w:pPr>
    <w:rPr>
      <w:sz w:val="24"/>
      <w:szCs w:val="24"/>
    </w:rPr>
  </w:style>
  <w:style w:type="character" w:customStyle="1" w:styleId="TekstpodstawowyZnak1">
    <w:name w:val="Tekst podstawowy Znak1"/>
    <w:basedOn w:val="Domylnaczcionkaakapitu"/>
    <w:link w:val="Tekstpodstawowy"/>
    <w:rsid w:val="00A14D51"/>
    <w:rPr>
      <w:sz w:val="28"/>
    </w:rPr>
  </w:style>
  <w:style w:type="character" w:customStyle="1" w:styleId="TekstpodstawowyzwciciemZnak">
    <w:name w:val="Tekst podstawowy z wcięciem Znak"/>
    <w:basedOn w:val="TekstpodstawowyZnak1"/>
    <w:link w:val="Tekstpodstawowyzwciciem"/>
    <w:rsid w:val="00A14D51"/>
    <w:rPr>
      <w:sz w:val="24"/>
      <w:szCs w:val="24"/>
    </w:rPr>
  </w:style>
  <w:style w:type="paragraph" w:styleId="Tekstpodstawowyzwciciem2">
    <w:name w:val="Body Text First Indent 2"/>
    <w:basedOn w:val="Tekstpodstawowywcity"/>
    <w:link w:val="Tekstpodstawowyzwciciem2Znak"/>
    <w:rsid w:val="00A14D51"/>
    <w:pPr>
      <w:spacing w:after="120"/>
      <w:ind w:left="283" w:firstLine="210"/>
      <w:jc w:val="left"/>
    </w:pPr>
    <w:rPr>
      <w:sz w:val="24"/>
    </w:rPr>
  </w:style>
  <w:style w:type="character" w:customStyle="1" w:styleId="Tekstpodstawowyzwciciem2Znak">
    <w:name w:val="Tekst podstawowy z wcięciem 2 Znak"/>
    <w:basedOn w:val="TekstpodstawowywcityZnak"/>
    <w:link w:val="Tekstpodstawowyzwciciem2"/>
    <w:rsid w:val="00A14D51"/>
    <w:rPr>
      <w:sz w:val="24"/>
      <w:szCs w:val="24"/>
    </w:rPr>
  </w:style>
  <w:style w:type="paragraph" w:styleId="Mapadokumentu">
    <w:name w:val="Document Map"/>
    <w:basedOn w:val="Normalny"/>
    <w:link w:val="MapadokumentuZnak"/>
    <w:semiHidden/>
    <w:rsid w:val="00A14D51"/>
    <w:pPr>
      <w:shd w:val="clear" w:color="auto" w:fill="000080"/>
      <w:tabs>
        <w:tab w:val="num" w:pos="3720"/>
      </w:tabs>
      <w:ind w:left="3360"/>
    </w:pPr>
    <w:rPr>
      <w:rFonts w:ascii="Tahoma" w:hAnsi="Tahoma" w:cs="Tahoma"/>
      <w:sz w:val="20"/>
    </w:rPr>
  </w:style>
  <w:style w:type="character" w:customStyle="1" w:styleId="MapadokumentuZnak">
    <w:name w:val="Mapa dokumentu Znak"/>
    <w:basedOn w:val="Domylnaczcionkaakapitu"/>
    <w:link w:val="Mapadokumentu"/>
    <w:semiHidden/>
    <w:rsid w:val="00A14D51"/>
    <w:rPr>
      <w:rFonts w:ascii="Tahoma" w:hAnsi="Tahoma" w:cs="Tahoma"/>
      <w:shd w:val="clear" w:color="auto" w:fill="000080"/>
    </w:rPr>
  </w:style>
  <w:style w:type="paragraph" w:styleId="NormalnyWeb">
    <w:name w:val="Normal (Web)"/>
    <w:basedOn w:val="Normalny"/>
    <w:uiPriority w:val="99"/>
    <w:rsid w:val="00A14D51"/>
    <w:pPr>
      <w:spacing w:before="100" w:beforeAutospacing="1" w:after="100" w:afterAutospacing="1"/>
    </w:pPr>
    <w:rPr>
      <w:szCs w:val="24"/>
    </w:rPr>
  </w:style>
  <w:style w:type="paragraph" w:styleId="Listapunktowana">
    <w:name w:val="List Bullet"/>
    <w:basedOn w:val="Normalny"/>
    <w:autoRedefine/>
    <w:rsid w:val="00A14D51"/>
    <w:pPr>
      <w:numPr>
        <w:numId w:val="11"/>
      </w:numPr>
    </w:pPr>
    <w:rPr>
      <w:sz w:val="28"/>
    </w:rPr>
  </w:style>
  <w:style w:type="paragraph" w:customStyle="1" w:styleId="Zawartotabeli">
    <w:name w:val="Zawartość tabeli"/>
    <w:basedOn w:val="Normalny"/>
    <w:rsid w:val="00A14D51"/>
    <w:pPr>
      <w:widowControl w:val="0"/>
      <w:suppressLineNumbers/>
      <w:suppressAutoHyphens/>
    </w:pPr>
    <w:rPr>
      <w:rFonts w:eastAsia="Arial Unicode MS"/>
      <w:kern w:val="1"/>
      <w:szCs w:val="24"/>
    </w:rPr>
  </w:style>
  <w:style w:type="paragraph" w:customStyle="1" w:styleId="ZnakZnakZnakZnak">
    <w:name w:val="Znak Znak Znak Znak"/>
    <w:basedOn w:val="Normalny"/>
    <w:rsid w:val="00A14D51"/>
    <w:rPr>
      <w:szCs w:val="24"/>
    </w:rPr>
  </w:style>
  <w:style w:type="paragraph" w:customStyle="1" w:styleId="ZnakZnakZnakZnakZnak1ZnakZnakZnakZnak">
    <w:name w:val="Znak Znak Znak Znak Znak1 Znak Znak Znak Znak"/>
    <w:basedOn w:val="Normalny"/>
    <w:rsid w:val="00A14D51"/>
    <w:rPr>
      <w:szCs w:val="24"/>
    </w:rPr>
  </w:style>
  <w:style w:type="paragraph" w:customStyle="1" w:styleId="ZnakZnakZnakZnakZnak1ZnakZnakZnakZnak0">
    <w:name w:val="Znak Znak Znak Znak Znak1 Znak Znak Znak Znak"/>
    <w:basedOn w:val="Normalny"/>
    <w:rsid w:val="00A14D51"/>
    <w:rPr>
      <w:szCs w:val="24"/>
    </w:rPr>
  </w:style>
  <w:style w:type="paragraph" w:styleId="HTML-wstpniesformatowany">
    <w:name w:val="HTML Preformatted"/>
    <w:basedOn w:val="Normalny"/>
    <w:link w:val="HTML-wstpniesformatowanyZnak"/>
    <w:rsid w:val="00A1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rsid w:val="00A14D51"/>
    <w:rPr>
      <w:rFonts w:ascii="Courier New" w:hAnsi="Courier New" w:cs="Courier New"/>
    </w:rPr>
  </w:style>
  <w:style w:type="paragraph" w:customStyle="1" w:styleId="tresc">
    <w:name w:val="tresc"/>
    <w:basedOn w:val="Normalny"/>
    <w:rsid w:val="00A14D51"/>
    <w:pPr>
      <w:spacing w:before="100" w:beforeAutospacing="1" w:after="100" w:afterAutospacing="1"/>
    </w:pPr>
    <w:rPr>
      <w:szCs w:val="24"/>
    </w:rPr>
  </w:style>
  <w:style w:type="paragraph" w:customStyle="1" w:styleId="Akapitzlist1">
    <w:name w:val="Akapit z listą1"/>
    <w:basedOn w:val="Normalny"/>
    <w:rsid w:val="00A14D51"/>
    <w:pPr>
      <w:suppressAutoHyphens/>
      <w:ind w:left="720"/>
    </w:pPr>
    <w:rPr>
      <w:rFonts w:eastAsia="Calibri"/>
      <w:lang w:eastAsia="zh-CN"/>
    </w:rPr>
  </w:style>
  <w:style w:type="character" w:customStyle="1" w:styleId="akapitustep1">
    <w:name w:val="akapitustep1"/>
    <w:rsid w:val="00A14D51"/>
  </w:style>
  <w:style w:type="character" w:customStyle="1" w:styleId="fn-ref">
    <w:name w:val="fn-ref"/>
    <w:rsid w:val="00A14D51"/>
  </w:style>
  <w:style w:type="character" w:customStyle="1" w:styleId="alb">
    <w:name w:val="a_lb"/>
    <w:rsid w:val="00A14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4139</Words>
  <Characters>24838</Characters>
  <Application>Microsoft Office Word</Application>
  <DocSecurity>2</DocSecurity>
  <Lines>206</Lines>
  <Paragraphs>57</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28920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cenowa nr DP.8361.1.2022</dc:title>
  <dc:creator/>
  <cp:keywords>decyzja ceny</cp:keywords>
  <cp:lastModifiedBy/>
  <cp:revision>1</cp:revision>
  <dcterms:created xsi:type="dcterms:W3CDTF">2022-11-03T13:57:00Z</dcterms:created>
  <dcterms:modified xsi:type="dcterms:W3CDTF">2022-11-04T06:20:00Z</dcterms:modified>
</cp:coreProperties>
</file>