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F7" w:rsidRDefault="004F1CF7" w:rsidP="004F1CF7">
      <w:pPr>
        <w:tabs>
          <w:tab w:val="left" w:pos="7560"/>
        </w:tabs>
        <w:spacing w:line="360" w:lineRule="auto"/>
        <w:ind w:firstLine="900"/>
        <w:jc w:val="both"/>
        <w:rPr>
          <w:rFonts w:ascii="Times New Roman" w:hAnsi="Times New Roman"/>
          <w:b/>
          <w:i/>
          <w:sz w:val="28"/>
          <w:szCs w:val="28"/>
        </w:rPr>
      </w:pPr>
      <w:bookmarkStart w:id="0" w:name="_GoBack"/>
      <w:r>
        <w:rPr>
          <w:rFonts w:ascii="Times New Roman" w:hAnsi="Times New Roman"/>
          <w:b/>
          <w:i/>
          <w:sz w:val="28"/>
          <w:szCs w:val="28"/>
        </w:rPr>
        <w:t>Informacja opisowa z działalności Stałego Sądu Polubownego przy Podkarpackim Wojewódzkim Inspektorze Inspekcji Handlowej za 2020 r.</w:t>
      </w:r>
    </w:p>
    <w:bookmarkEnd w:id="0"/>
    <w:p w:rsidR="004F1CF7" w:rsidRDefault="004F1CF7" w:rsidP="004F1CF7">
      <w:pPr>
        <w:tabs>
          <w:tab w:val="left" w:pos="7560"/>
        </w:tabs>
        <w:spacing w:line="360" w:lineRule="auto"/>
        <w:ind w:firstLine="900"/>
        <w:jc w:val="both"/>
        <w:rPr>
          <w:rFonts w:ascii="Times New Roman" w:hAnsi="Times New Roman"/>
          <w:b/>
          <w:i/>
          <w:sz w:val="28"/>
          <w:szCs w:val="28"/>
        </w:rPr>
      </w:pPr>
    </w:p>
    <w:p w:rsidR="004F1CF7" w:rsidRDefault="004F1CF7" w:rsidP="004F1CF7">
      <w:pPr>
        <w:tabs>
          <w:tab w:val="left" w:pos="7560"/>
        </w:tabs>
        <w:spacing w:line="360" w:lineRule="auto"/>
        <w:ind w:firstLine="900"/>
        <w:jc w:val="both"/>
        <w:rPr>
          <w:rFonts w:ascii="Times New Roman" w:hAnsi="Times New Roman"/>
          <w:sz w:val="24"/>
          <w:szCs w:val="24"/>
        </w:rPr>
      </w:pPr>
      <w:r>
        <w:rPr>
          <w:rFonts w:ascii="Times New Roman" w:hAnsi="Times New Roman"/>
          <w:sz w:val="24"/>
          <w:szCs w:val="24"/>
        </w:rPr>
        <w:t>W okresie od stycznia do 31 grudnia 2020 r.  do Stałego Sądu Polubownego przy Podkarpackim Wojewódzkim Inspektorze Inspekcji Handlowej wpłynęło 24 wnioski na łączną wartość 129 628,00 zł (słownie stu dwudziestu dziewięciu tysięcy sześćset dwudziestu ośmiu złotych).</w:t>
      </w:r>
    </w:p>
    <w:p w:rsidR="004F1CF7" w:rsidRDefault="004F1CF7" w:rsidP="004F1CF7">
      <w:pPr>
        <w:tabs>
          <w:tab w:val="left" w:pos="7560"/>
        </w:tabs>
        <w:spacing w:line="360" w:lineRule="auto"/>
        <w:ind w:firstLine="900"/>
        <w:jc w:val="both"/>
        <w:rPr>
          <w:rFonts w:ascii="Times New Roman" w:hAnsi="Times New Roman"/>
          <w:sz w:val="24"/>
          <w:szCs w:val="24"/>
        </w:rPr>
      </w:pPr>
      <w:r>
        <w:rPr>
          <w:rFonts w:ascii="Times New Roman" w:hAnsi="Times New Roman"/>
          <w:sz w:val="24"/>
          <w:szCs w:val="24"/>
        </w:rPr>
        <w:t>Poszczególne wnioski dotyczyły:</w:t>
      </w:r>
    </w:p>
    <w:p w:rsidR="004F1CF7" w:rsidRDefault="004F1CF7" w:rsidP="004F1CF7">
      <w:pPr>
        <w:pStyle w:val="Akapitzlist"/>
        <w:numPr>
          <w:ilvl w:val="0"/>
          <w:numId w:val="1"/>
        </w:numPr>
        <w:tabs>
          <w:tab w:val="left" w:pos="7560"/>
        </w:tabs>
        <w:spacing w:line="360" w:lineRule="auto"/>
        <w:jc w:val="both"/>
        <w:rPr>
          <w:rFonts w:ascii="Times New Roman" w:hAnsi="Times New Roman"/>
          <w:sz w:val="24"/>
          <w:szCs w:val="24"/>
        </w:rPr>
      </w:pPr>
      <w:r>
        <w:rPr>
          <w:rFonts w:ascii="Times New Roman" w:hAnsi="Times New Roman"/>
          <w:sz w:val="24"/>
          <w:szCs w:val="24"/>
        </w:rPr>
        <w:t>sporu wynikłego ze sprzedaży sprzętu RTV i AGD 2 wnioski –  na wartość        1829 zł</w:t>
      </w:r>
    </w:p>
    <w:p w:rsidR="004F1CF7" w:rsidRDefault="004F1CF7" w:rsidP="004F1CF7">
      <w:pPr>
        <w:pStyle w:val="Akapitzlist"/>
        <w:numPr>
          <w:ilvl w:val="0"/>
          <w:numId w:val="1"/>
        </w:numPr>
        <w:tabs>
          <w:tab w:val="left" w:pos="7560"/>
        </w:tabs>
        <w:spacing w:line="360" w:lineRule="auto"/>
        <w:jc w:val="both"/>
        <w:rPr>
          <w:rFonts w:ascii="Times New Roman" w:hAnsi="Times New Roman"/>
          <w:sz w:val="24"/>
          <w:szCs w:val="24"/>
        </w:rPr>
      </w:pPr>
      <w:r>
        <w:rPr>
          <w:rFonts w:ascii="Times New Roman" w:hAnsi="Times New Roman"/>
          <w:sz w:val="24"/>
          <w:szCs w:val="24"/>
        </w:rPr>
        <w:t>sporu wynikłego ze sprzedaży odzieży 2 wnioski – na wartość 820 zł</w:t>
      </w:r>
    </w:p>
    <w:p w:rsidR="004F1CF7" w:rsidRDefault="004F1CF7" w:rsidP="004F1CF7">
      <w:pPr>
        <w:pStyle w:val="Akapitzlist"/>
        <w:numPr>
          <w:ilvl w:val="0"/>
          <w:numId w:val="1"/>
        </w:numPr>
        <w:tabs>
          <w:tab w:val="left" w:pos="7560"/>
        </w:tabs>
        <w:spacing w:line="360" w:lineRule="auto"/>
        <w:jc w:val="both"/>
        <w:rPr>
          <w:rFonts w:ascii="Times New Roman" w:hAnsi="Times New Roman"/>
          <w:sz w:val="24"/>
          <w:szCs w:val="24"/>
        </w:rPr>
      </w:pPr>
      <w:r>
        <w:rPr>
          <w:rFonts w:ascii="Times New Roman" w:hAnsi="Times New Roman"/>
          <w:sz w:val="24"/>
          <w:szCs w:val="24"/>
        </w:rPr>
        <w:t>sporu wynikłego ze sprzedaży obuwia 4 wnioski – na wartość 1099 zł</w:t>
      </w:r>
    </w:p>
    <w:p w:rsidR="004F1CF7" w:rsidRDefault="004F1CF7" w:rsidP="004F1CF7">
      <w:pPr>
        <w:pStyle w:val="Akapitzlist"/>
        <w:numPr>
          <w:ilvl w:val="0"/>
          <w:numId w:val="1"/>
        </w:numPr>
        <w:tabs>
          <w:tab w:val="left" w:pos="7560"/>
        </w:tabs>
        <w:spacing w:line="360" w:lineRule="auto"/>
        <w:jc w:val="both"/>
        <w:rPr>
          <w:rFonts w:ascii="Times New Roman" w:hAnsi="Times New Roman"/>
          <w:sz w:val="24"/>
          <w:szCs w:val="24"/>
        </w:rPr>
      </w:pPr>
      <w:r>
        <w:rPr>
          <w:rFonts w:ascii="Times New Roman" w:hAnsi="Times New Roman"/>
          <w:sz w:val="24"/>
          <w:szCs w:val="24"/>
        </w:rPr>
        <w:t>sporu wynikłego ze sprzedaży samochodów i innych pojazdów 2 wnioski – na wartość 69700 zł</w:t>
      </w:r>
    </w:p>
    <w:p w:rsidR="004F1CF7" w:rsidRDefault="004F1CF7" w:rsidP="004F1CF7">
      <w:pPr>
        <w:pStyle w:val="Akapitzlist"/>
        <w:numPr>
          <w:ilvl w:val="0"/>
          <w:numId w:val="1"/>
        </w:numPr>
        <w:tabs>
          <w:tab w:val="left" w:pos="7560"/>
        </w:tabs>
        <w:spacing w:line="360" w:lineRule="auto"/>
        <w:jc w:val="both"/>
        <w:rPr>
          <w:rFonts w:ascii="Times New Roman" w:hAnsi="Times New Roman"/>
          <w:sz w:val="24"/>
          <w:szCs w:val="24"/>
        </w:rPr>
      </w:pPr>
      <w:r>
        <w:rPr>
          <w:rFonts w:ascii="Times New Roman" w:hAnsi="Times New Roman"/>
          <w:sz w:val="24"/>
          <w:szCs w:val="24"/>
        </w:rPr>
        <w:t>sporu wynikłego ze sprzedaży innych artykułów przemysłowych 3 wnioski – na wartość 4353 zł</w:t>
      </w:r>
    </w:p>
    <w:p w:rsidR="004F1CF7" w:rsidRDefault="004F1CF7" w:rsidP="004F1CF7">
      <w:pPr>
        <w:pStyle w:val="Akapitzlist"/>
        <w:numPr>
          <w:ilvl w:val="0"/>
          <w:numId w:val="1"/>
        </w:numPr>
        <w:tabs>
          <w:tab w:val="left" w:pos="7560"/>
        </w:tabs>
        <w:spacing w:line="360" w:lineRule="auto"/>
        <w:jc w:val="both"/>
        <w:rPr>
          <w:rFonts w:ascii="Times New Roman" w:hAnsi="Times New Roman"/>
          <w:sz w:val="24"/>
          <w:szCs w:val="24"/>
        </w:rPr>
      </w:pPr>
      <w:r>
        <w:rPr>
          <w:rFonts w:ascii="Times New Roman" w:hAnsi="Times New Roman"/>
          <w:sz w:val="24"/>
          <w:szCs w:val="24"/>
        </w:rPr>
        <w:t>sporu wynikłego z usługi edukacyjnej 1 wniosek – na wartość 1119 zł</w:t>
      </w:r>
    </w:p>
    <w:p w:rsidR="004F1CF7" w:rsidRDefault="004F1CF7" w:rsidP="004F1CF7">
      <w:pPr>
        <w:pStyle w:val="Akapitzlist"/>
        <w:numPr>
          <w:ilvl w:val="0"/>
          <w:numId w:val="1"/>
        </w:numPr>
        <w:tabs>
          <w:tab w:val="left" w:pos="7560"/>
        </w:tabs>
        <w:spacing w:line="360" w:lineRule="auto"/>
        <w:jc w:val="both"/>
        <w:rPr>
          <w:rFonts w:ascii="Times New Roman" w:hAnsi="Times New Roman"/>
          <w:sz w:val="24"/>
          <w:szCs w:val="24"/>
        </w:rPr>
      </w:pPr>
      <w:r>
        <w:rPr>
          <w:rFonts w:ascii="Times New Roman" w:hAnsi="Times New Roman"/>
          <w:sz w:val="24"/>
          <w:szCs w:val="24"/>
        </w:rPr>
        <w:t>sporu wynikłego z usługi remontowo – budowlanej 3 wnioski – na wartość    40537 zł</w:t>
      </w:r>
    </w:p>
    <w:p w:rsidR="004F1CF7" w:rsidRDefault="004F1CF7" w:rsidP="004F1CF7">
      <w:pPr>
        <w:pStyle w:val="Akapitzlist"/>
        <w:numPr>
          <w:ilvl w:val="0"/>
          <w:numId w:val="1"/>
        </w:numPr>
        <w:tabs>
          <w:tab w:val="left" w:pos="7560"/>
        </w:tabs>
        <w:spacing w:line="360" w:lineRule="auto"/>
        <w:jc w:val="both"/>
        <w:rPr>
          <w:rFonts w:ascii="Times New Roman" w:hAnsi="Times New Roman"/>
          <w:sz w:val="24"/>
          <w:szCs w:val="24"/>
        </w:rPr>
      </w:pPr>
      <w:r>
        <w:rPr>
          <w:rFonts w:ascii="Times New Roman" w:hAnsi="Times New Roman"/>
          <w:sz w:val="24"/>
          <w:szCs w:val="24"/>
        </w:rPr>
        <w:t>sporu wynikłego z usługi naprawiania samochodów i innych pojazdów 1 wniosek – na wartość 800 zł</w:t>
      </w:r>
    </w:p>
    <w:p w:rsidR="004F1CF7" w:rsidRDefault="004F1CF7" w:rsidP="004F1CF7">
      <w:pPr>
        <w:pStyle w:val="Akapitzlist"/>
        <w:numPr>
          <w:ilvl w:val="0"/>
          <w:numId w:val="1"/>
        </w:numPr>
        <w:tabs>
          <w:tab w:val="left" w:pos="7560"/>
        </w:tabs>
        <w:spacing w:line="360" w:lineRule="auto"/>
        <w:jc w:val="both"/>
        <w:rPr>
          <w:rFonts w:ascii="Times New Roman" w:hAnsi="Times New Roman"/>
          <w:sz w:val="24"/>
          <w:szCs w:val="24"/>
        </w:rPr>
      </w:pPr>
      <w:r>
        <w:rPr>
          <w:rFonts w:ascii="Times New Roman" w:hAnsi="Times New Roman"/>
          <w:sz w:val="24"/>
          <w:szCs w:val="24"/>
        </w:rPr>
        <w:t>sporu wynikłego z innych usług 6 wniosków – na wartość 9371 zł</w:t>
      </w:r>
    </w:p>
    <w:p w:rsidR="004F1CF7" w:rsidRDefault="004F1CF7" w:rsidP="004F1CF7">
      <w:pPr>
        <w:tabs>
          <w:tab w:val="left" w:pos="7560"/>
        </w:tabs>
        <w:spacing w:line="360" w:lineRule="auto"/>
        <w:jc w:val="both"/>
        <w:rPr>
          <w:rFonts w:ascii="Times New Roman" w:hAnsi="Times New Roman"/>
          <w:sz w:val="24"/>
          <w:szCs w:val="24"/>
        </w:rPr>
      </w:pPr>
      <w:r>
        <w:rPr>
          <w:rFonts w:ascii="Times New Roman" w:hAnsi="Times New Roman"/>
          <w:sz w:val="24"/>
          <w:szCs w:val="24"/>
        </w:rPr>
        <w:t>W omawianym okresie merytorycznie rozpoznano 17 wniosków (których wnioskodawcą był konsument) w następujący sposób:</w:t>
      </w:r>
    </w:p>
    <w:p w:rsidR="004F1CF7" w:rsidRDefault="004F1CF7" w:rsidP="004F1CF7">
      <w:pPr>
        <w:tabs>
          <w:tab w:val="left" w:pos="7560"/>
        </w:tabs>
        <w:spacing w:line="360" w:lineRule="auto"/>
        <w:jc w:val="both"/>
        <w:rPr>
          <w:rFonts w:ascii="Times New Roman" w:hAnsi="Times New Roman"/>
          <w:sz w:val="24"/>
          <w:szCs w:val="24"/>
        </w:rPr>
      </w:pPr>
      <w:r>
        <w:rPr>
          <w:rFonts w:ascii="Times New Roman" w:hAnsi="Times New Roman"/>
          <w:sz w:val="24"/>
          <w:szCs w:val="24"/>
        </w:rPr>
        <w:t>- zwrot wniosku, gdy druga strona nie udzieliła odpowiedzi:</w:t>
      </w:r>
    </w:p>
    <w:p w:rsidR="004F1CF7" w:rsidRDefault="004F1CF7" w:rsidP="004F1CF7">
      <w:pPr>
        <w:pStyle w:val="Akapitzlist"/>
        <w:numPr>
          <w:ilvl w:val="0"/>
          <w:numId w:val="2"/>
        </w:numPr>
        <w:tabs>
          <w:tab w:val="left" w:pos="7560"/>
        </w:tabs>
        <w:spacing w:line="360" w:lineRule="auto"/>
        <w:jc w:val="both"/>
        <w:rPr>
          <w:rFonts w:ascii="Times New Roman" w:hAnsi="Times New Roman"/>
          <w:sz w:val="24"/>
          <w:szCs w:val="24"/>
        </w:rPr>
      </w:pPr>
      <w:r>
        <w:rPr>
          <w:rFonts w:ascii="Times New Roman" w:hAnsi="Times New Roman"/>
          <w:sz w:val="24"/>
          <w:szCs w:val="24"/>
        </w:rPr>
        <w:t xml:space="preserve">dotyczące obuwia - 2 wnioski </w:t>
      </w:r>
    </w:p>
    <w:p w:rsidR="004F1CF7" w:rsidRDefault="004F1CF7" w:rsidP="004F1CF7">
      <w:pPr>
        <w:pStyle w:val="Akapitzlist"/>
        <w:numPr>
          <w:ilvl w:val="0"/>
          <w:numId w:val="2"/>
        </w:numPr>
        <w:tabs>
          <w:tab w:val="left" w:pos="7560"/>
        </w:tabs>
        <w:spacing w:line="360" w:lineRule="auto"/>
        <w:jc w:val="both"/>
        <w:rPr>
          <w:rFonts w:ascii="Times New Roman" w:hAnsi="Times New Roman"/>
          <w:sz w:val="24"/>
          <w:szCs w:val="24"/>
        </w:rPr>
      </w:pPr>
      <w:r>
        <w:rPr>
          <w:rFonts w:ascii="Times New Roman" w:hAnsi="Times New Roman"/>
          <w:sz w:val="24"/>
          <w:szCs w:val="24"/>
        </w:rPr>
        <w:t>dotyczące innych artykułów przemysłowych – 2 wnioski</w:t>
      </w:r>
    </w:p>
    <w:p w:rsidR="004F1CF7" w:rsidRDefault="004F1CF7" w:rsidP="004F1CF7">
      <w:pPr>
        <w:pStyle w:val="Akapitzlist"/>
        <w:numPr>
          <w:ilvl w:val="0"/>
          <w:numId w:val="2"/>
        </w:numPr>
        <w:tabs>
          <w:tab w:val="left" w:pos="7560"/>
        </w:tabs>
        <w:spacing w:line="360" w:lineRule="auto"/>
        <w:jc w:val="both"/>
        <w:rPr>
          <w:rFonts w:ascii="Times New Roman" w:hAnsi="Times New Roman"/>
          <w:sz w:val="24"/>
          <w:szCs w:val="24"/>
        </w:rPr>
      </w:pPr>
      <w:r>
        <w:rPr>
          <w:rFonts w:ascii="Times New Roman" w:hAnsi="Times New Roman"/>
          <w:sz w:val="24"/>
          <w:szCs w:val="24"/>
        </w:rPr>
        <w:t>dotyczące  usług edukacyjnych – 1 wniosek</w:t>
      </w:r>
    </w:p>
    <w:p w:rsidR="004F1CF7" w:rsidRDefault="004F1CF7" w:rsidP="004F1CF7">
      <w:pPr>
        <w:pStyle w:val="Akapitzlist"/>
        <w:numPr>
          <w:ilvl w:val="0"/>
          <w:numId w:val="2"/>
        </w:numPr>
        <w:tabs>
          <w:tab w:val="left" w:pos="7560"/>
        </w:tabs>
        <w:spacing w:line="360" w:lineRule="auto"/>
        <w:jc w:val="both"/>
        <w:rPr>
          <w:rFonts w:ascii="Times New Roman" w:hAnsi="Times New Roman"/>
          <w:sz w:val="24"/>
          <w:szCs w:val="24"/>
        </w:rPr>
      </w:pPr>
      <w:r>
        <w:rPr>
          <w:rFonts w:ascii="Times New Roman" w:hAnsi="Times New Roman"/>
          <w:sz w:val="24"/>
          <w:szCs w:val="24"/>
        </w:rPr>
        <w:t>dotyczące usługi remontowo – budowlanej – 1 wniosek</w:t>
      </w:r>
    </w:p>
    <w:p w:rsidR="004F1CF7" w:rsidRDefault="004F1CF7" w:rsidP="004F1CF7">
      <w:pPr>
        <w:pStyle w:val="Akapitzlist"/>
        <w:numPr>
          <w:ilvl w:val="0"/>
          <w:numId w:val="2"/>
        </w:numPr>
        <w:tabs>
          <w:tab w:val="left" w:pos="7560"/>
        </w:tabs>
        <w:spacing w:line="360" w:lineRule="auto"/>
        <w:jc w:val="both"/>
        <w:rPr>
          <w:rFonts w:ascii="Times New Roman" w:hAnsi="Times New Roman"/>
          <w:sz w:val="24"/>
          <w:szCs w:val="24"/>
        </w:rPr>
      </w:pPr>
      <w:r>
        <w:rPr>
          <w:rFonts w:ascii="Times New Roman" w:hAnsi="Times New Roman"/>
          <w:sz w:val="24"/>
          <w:szCs w:val="24"/>
        </w:rPr>
        <w:t>dotyczące innych usług – 1 wniosek</w:t>
      </w:r>
    </w:p>
    <w:p w:rsidR="004F1CF7" w:rsidRDefault="004F1CF7" w:rsidP="004F1CF7">
      <w:pPr>
        <w:tabs>
          <w:tab w:val="left" w:pos="7560"/>
        </w:tabs>
        <w:spacing w:line="360" w:lineRule="auto"/>
        <w:jc w:val="both"/>
        <w:rPr>
          <w:rFonts w:ascii="Times New Roman" w:hAnsi="Times New Roman"/>
          <w:sz w:val="24"/>
          <w:szCs w:val="24"/>
        </w:rPr>
      </w:pPr>
      <w:r>
        <w:rPr>
          <w:rFonts w:ascii="Times New Roman" w:hAnsi="Times New Roman"/>
          <w:sz w:val="24"/>
          <w:szCs w:val="24"/>
        </w:rPr>
        <w:t>- zwrot wniosku, gdyż rozpatrzenie spowodowałoby poważne zakłócenie pracy SSP:</w:t>
      </w:r>
    </w:p>
    <w:p w:rsidR="004F1CF7" w:rsidRDefault="004F1CF7" w:rsidP="004F1CF7">
      <w:pPr>
        <w:pStyle w:val="Akapitzlist"/>
        <w:numPr>
          <w:ilvl w:val="0"/>
          <w:numId w:val="3"/>
        </w:numPr>
        <w:tabs>
          <w:tab w:val="left" w:pos="7560"/>
        </w:tabs>
        <w:spacing w:line="360" w:lineRule="auto"/>
        <w:jc w:val="both"/>
        <w:rPr>
          <w:rFonts w:ascii="Times New Roman" w:hAnsi="Times New Roman"/>
          <w:sz w:val="24"/>
          <w:szCs w:val="24"/>
        </w:rPr>
      </w:pPr>
      <w:r>
        <w:rPr>
          <w:rFonts w:ascii="Times New Roman" w:hAnsi="Times New Roman"/>
          <w:sz w:val="24"/>
          <w:szCs w:val="24"/>
        </w:rPr>
        <w:t>dotyczące usługi remontowo - budowlanej – 1 wniosek</w:t>
      </w:r>
    </w:p>
    <w:p w:rsidR="004F1CF7" w:rsidRDefault="004F1CF7" w:rsidP="004F1CF7">
      <w:pPr>
        <w:tabs>
          <w:tab w:val="left" w:pos="7560"/>
        </w:tabs>
        <w:spacing w:line="360" w:lineRule="auto"/>
        <w:jc w:val="both"/>
        <w:rPr>
          <w:rFonts w:ascii="Times New Roman" w:hAnsi="Times New Roman"/>
          <w:sz w:val="24"/>
          <w:szCs w:val="24"/>
        </w:rPr>
      </w:pPr>
      <w:r>
        <w:rPr>
          <w:rFonts w:ascii="Times New Roman" w:hAnsi="Times New Roman"/>
          <w:sz w:val="24"/>
          <w:szCs w:val="24"/>
        </w:rPr>
        <w:t>- pozostawienie wniosku bez dalszego biegu:</w:t>
      </w:r>
    </w:p>
    <w:p w:rsidR="004F1CF7" w:rsidRDefault="004F1CF7" w:rsidP="004F1CF7">
      <w:pPr>
        <w:pStyle w:val="Akapitzlist"/>
        <w:numPr>
          <w:ilvl w:val="0"/>
          <w:numId w:val="3"/>
        </w:numPr>
        <w:tabs>
          <w:tab w:val="left" w:pos="7560"/>
        </w:tabs>
        <w:spacing w:line="360" w:lineRule="auto"/>
        <w:jc w:val="both"/>
        <w:rPr>
          <w:rFonts w:ascii="Times New Roman" w:hAnsi="Times New Roman"/>
          <w:sz w:val="24"/>
          <w:szCs w:val="24"/>
        </w:rPr>
      </w:pPr>
      <w:r>
        <w:rPr>
          <w:rFonts w:ascii="Times New Roman" w:hAnsi="Times New Roman"/>
          <w:sz w:val="24"/>
          <w:szCs w:val="24"/>
        </w:rPr>
        <w:lastRenderedPageBreak/>
        <w:t>dotyczące sprzętu RTV i AGD – 1 wniosek</w:t>
      </w:r>
    </w:p>
    <w:p w:rsidR="004F1CF7" w:rsidRDefault="004F1CF7" w:rsidP="004F1CF7">
      <w:pPr>
        <w:pStyle w:val="Akapitzlist"/>
        <w:numPr>
          <w:ilvl w:val="0"/>
          <w:numId w:val="3"/>
        </w:numPr>
        <w:tabs>
          <w:tab w:val="left" w:pos="7560"/>
        </w:tabs>
        <w:spacing w:line="360" w:lineRule="auto"/>
        <w:jc w:val="both"/>
        <w:rPr>
          <w:rFonts w:ascii="Times New Roman" w:hAnsi="Times New Roman"/>
          <w:sz w:val="24"/>
          <w:szCs w:val="24"/>
        </w:rPr>
      </w:pPr>
      <w:r>
        <w:rPr>
          <w:rFonts w:ascii="Times New Roman" w:hAnsi="Times New Roman"/>
          <w:sz w:val="24"/>
          <w:szCs w:val="24"/>
        </w:rPr>
        <w:t>dotyczące innych usług – 1 wniosek</w:t>
      </w:r>
    </w:p>
    <w:p w:rsidR="004F1CF7" w:rsidRDefault="004F1CF7" w:rsidP="004F1CF7">
      <w:pPr>
        <w:tabs>
          <w:tab w:val="left" w:pos="7560"/>
        </w:tabs>
        <w:spacing w:line="360" w:lineRule="auto"/>
        <w:jc w:val="both"/>
        <w:rPr>
          <w:rFonts w:ascii="Times New Roman" w:hAnsi="Times New Roman"/>
          <w:sz w:val="24"/>
          <w:szCs w:val="24"/>
        </w:rPr>
      </w:pPr>
      <w:r>
        <w:rPr>
          <w:rFonts w:ascii="Times New Roman" w:hAnsi="Times New Roman"/>
          <w:sz w:val="24"/>
          <w:szCs w:val="24"/>
        </w:rPr>
        <w:t>- ugody w postępowaniu wstępnym:</w:t>
      </w:r>
    </w:p>
    <w:p w:rsidR="004F1CF7" w:rsidRDefault="004F1CF7" w:rsidP="004F1CF7">
      <w:pPr>
        <w:pStyle w:val="Akapitzlist"/>
        <w:numPr>
          <w:ilvl w:val="0"/>
          <w:numId w:val="4"/>
        </w:numPr>
        <w:tabs>
          <w:tab w:val="left" w:pos="7560"/>
        </w:tabs>
        <w:spacing w:line="360" w:lineRule="auto"/>
        <w:jc w:val="both"/>
        <w:rPr>
          <w:rFonts w:ascii="Times New Roman" w:hAnsi="Times New Roman"/>
          <w:sz w:val="24"/>
          <w:szCs w:val="24"/>
        </w:rPr>
      </w:pPr>
      <w:r>
        <w:rPr>
          <w:rFonts w:ascii="Times New Roman" w:hAnsi="Times New Roman"/>
          <w:sz w:val="24"/>
          <w:szCs w:val="24"/>
        </w:rPr>
        <w:t>dotyczący obuwia – 1 wniosek</w:t>
      </w:r>
    </w:p>
    <w:p w:rsidR="004F1CF7" w:rsidRDefault="004F1CF7" w:rsidP="004F1CF7">
      <w:pPr>
        <w:pStyle w:val="Akapitzlist"/>
        <w:numPr>
          <w:ilvl w:val="0"/>
          <w:numId w:val="4"/>
        </w:numPr>
        <w:tabs>
          <w:tab w:val="left" w:pos="7560"/>
        </w:tabs>
        <w:spacing w:line="360" w:lineRule="auto"/>
        <w:jc w:val="both"/>
        <w:rPr>
          <w:rFonts w:ascii="Times New Roman" w:hAnsi="Times New Roman"/>
          <w:sz w:val="24"/>
          <w:szCs w:val="24"/>
        </w:rPr>
      </w:pPr>
      <w:r>
        <w:rPr>
          <w:rFonts w:ascii="Times New Roman" w:hAnsi="Times New Roman"/>
          <w:sz w:val="24"/>
          <w:szCs w:val="24"/>
        </w:rPr>
        <w:t>dotyczący samochodów i innych pojazdów – 1 wniosek</w:t>
      </w:r>
    </w:p>
    <w:p w:rsidR="004F1CF7" w:rsidRDefault="004F1CF7" w:rsidP="004F1CF7">
      <w:pPr>
        <w:tabs>
          <w:tab w:val="left" w:pos="7560"/>
        </w:tabs>
        <w:spacing w:line="360" w:lineRule="auto"/>
        <w:jc w:val="both"/>
        <w:rPr>
          <w:rFonts w:ascii="Times New Roman" w:hAnsi="Times New Roman"/>
          <w:sz w:val="24"/>
          <w:szCs w:val="24"/>
        </w:rPr>
      </w:pPr>
      <w:r>
        <w:rPr>
          <w:rFonts w:ascii="Times New Roman" w:hAnsi="Times New Roman"/>
          <w:sz w:val="24"/>
          <w:szCs w:val="24"/>
        </w:rPr>
        <w:t>- zwrot wniosku z powodu odmowy zapisu:</w:t>
      </w:r>
    </w:p>
    <w:p w:rsidR="004F1CF7" w:rsidRDefault="004F1CF7" w:rsidP="004F1CF7">
      <w:pPr>
        <w:pStyle w:val="Akapitzlist"/>
        <w:numPr>
          <w:ilvl w:val="0"/>
          <w:numId w:val="5"/>
        </w:numPr>
        <w:tabs>
          <w:tab w:val="left" w:pos="7560"/>
        </w:tabs>
        <w:spacing w:line="360" w:lineRule="auto"/>
        <w:jc w:val="both"/>
        <w:rPr>
          <w:rFonts w:ascii="Times New Roman" w:hAnsi="Times New Roman"/>
          <w:sz w:val="24"/>
          <w:szCs w:val="24"/>
        </w:rPr>
      </w:pPr>
      <w:r>
        <w:rPr>
          <w:rFonts w:ascii="Times New Roman" w:hAnsi="Times New Roman"/>
          <w:sz w:val="24"/>
          <w:szCs w:val="24"/>
        </w:rPr>
        <w:t>dotyczący odzieży – 2 wnioski</w:t>
      </w:r>
    </w:p>
    <w:p w:rsidR="004F1CF7" w:rsidRDefault="004F1CF7" w:rsidP="004F1CF7">
      <w:pPr>
        <w:pStyle w:val="Akapitzlist"/>
        <w:numPr>
          <w:ilvl w:val="0"/>
          <w:numId w:val="5"/>
        </w:numPr>
        <w:tabs>
          <w:tab w:val="left" w:pos="7560"/>
        </w:tabs>
        <w:spacing w:line="360" w:lineRule="auto"/>
        <w:jc w:val="both"/>
        <w:rPr>
          <w:rFonts w:ascii="Times New Roman" w:hAnsi="Times New Roman"/>
          <w:sz w:val="24"/>
          <w:szCs w:val="24"/>
        </w:rPr>
      </w:pPr>
      <w:r>
        <w:rPr>
          <w:rFonts w:ascii="Times New Roman" w:hAnsi="Times New Roman"/>
          <w:sz w:val="24"/>
          <w:szCs w:val="24"/>
        </w:rPr>
        <w:t>dotyczący obuwia – 1 wnioski</w:t>
      </w:r>
    </w:p>
    <w:p w:rsidR="004F1CF7" w:rsidRDefault="004F1CF7" w:rsidP="004F1CF7">
      <w:pPr>
        <w:pStyle w:val="Akapitzlist"/>
        <w:numPr>
          <w:ilvl w:val="0"/>
          <w:numId w:val="5"/>
        </w:numPr>
        <w:tabs>
          <w:tab w:val="left" w:pos="7560"/>
        </w:tabs>
        <w:spacing w:line="360" w:lineRule="auto"/>
        <w:jc w:val="both"/>
        <w:rPr>
          <w:rFonts w:ascii="Times New Roman" w:hAnsi="Times New Roman"/>
          <w:sz w:val="24"/>
          <w:szCs w:val="24"/>
        </w:rPr>
      </w:pPr>
      <w:r>
        <w:rPr>
          <w:rFonts w:ascii="Times New Roman" w:hAnsi="Times New Roman"/>
          <w:sz w:val="24"/>
          <w:szCs w:val="24"/>
        </w:rPr>
        <w:t>dotyczący samochodów i innych pojazdów – 1 wniosek</w:t>
      </w:r>
    </w:p>
    <w:p w:rsidR="004F1CF7" w:rsidRDefault="004F1CF7" w:rsidP="004F1CF7">
      <w:pPr>
        <w:pStyle w:val="Akapitzlist"/>
        <w:numPr>
          <w:ilvl w:val="0"/>
          <w:numId w:val="5"/>
        </w:numPr>
        <w:tabs>
          <w:tab w:val="left" w:pos="7560"/>
        </w:tabs>
        <w:spacing w:line="360" w:lineRule="auto"/>
        <w:jc w:val="both"/>
        <w:rPr>
          <w:rFonts w:ascii="Times New Roman" w:hAnsi="Times New Roman"/>
          <w:sz w:val="24"/>
          <w:szCs w:val="24"/>
        </w:rPr>
      </w:pPr>
      <w:r>
        <w:rPr>
          <w:rFonts w:ascii="Times New Roman" w:hAnsi="Times New Roman"/>
          <w:sz w:val="24"/>
          <w:szCs w:val="24"/>
        </w:rPr>
        <w:t>dotyczący innych usług – 1 wniosek</w:t>
      </w:r>
    </w:p>
    <w:p w:rsidR="004F1CF7" w:rsidRDefault="004F1CF7" w:rsidP="004F1CF7">
      <w:pPr>
        <w:tabs>
          <w:tab w:val="left" w:pos="7560"/>
        </w:tabs>
        <w:spacing w:line="360" w:lineRule="auto"/>
        <w:jc w:val="both"/>
        <w:rPr>
          <w:rFonts w:ascii="Times New Roman" w:hAnsi="Times New Roman"/>
          <w:sz w:val="24"/>
          <w:szCs w:val="24"/>
        </w:rPr>
      </w:pPr>
      <w:r>
        <w:rPr>
          <w:rFonts w:ascii="Times New Roman" w:hAnsi="Times New Roman"/>
          <w:sz w:val="24"/>
          <w:szCs w:val="24"/>
        </w:rPr>
        <w:t>Ponadto do załatwienia w 2021 r. pozostało 2 wnioski: 1 dotyczący  innych artykułów przemysłowych na kwotę 903 zł, drugi dotyczący usługi naprawiania samochodów i innych pojazdów na kwotę 800 zł.</w:t>
      </w:r>
    </w:p>
    <w:p w:rsidR="004F1CF7" w:rsidRDefault="004F1CF7" w:rsidP="004F1CF7">
      <w:pPr>
        <w:tabs>
          <w:tab w:val="left" w:pos="7560"/>
        </w:tabs>
        <w:spacing w:line="360" w:lineRule="auto"/>
        <w:jc w:val="both"/>
        <w:rPr>
          <w:rFonts w:ascii="Times New Roman" w:hAnsi="Times New Roman"/>
          <w:sz w:val="24"/>
          <w:szCs w:val="24"/>
        </w:rPr>
      </w:pPr>
      <w:r>
        <w:rPr>
          <w:rFonts w:ascii="Times New Roman" w:hAnsi="Times New Roman"/>
          <w:sz w:val="24"/>
          <w:szCs w:val="24"/>
        </w:rPr>
        <w:t>W omawianym okresie rozpoznano również 4 wnioski, których wnioskodawcami byli przedsiębiorcy. Sprawy rozpoznano w następujący sposób:</w:t>
      </w:r>
    </w:p>
    <w:p w:rsidR="004F1CF7" w:rsidRDefault="004F1CF7" w:rsidP="004F1CF7">
      <w:pPr>
        <w:tabs>
          <w:tab w:val="left" w:pos="7560"/>
        </w:tabs>
        <w:spacing w:line="360" w:lineRule="auto"/>
        <w:jc w:val="both"/>
        <w:rPr>
          <w:rFonts w:ascii="Times New Roman" w:hAnsi="Times New Roman"/>
          <w:sz w:val="24"/>
          <w:szCs w:val="24"/>
        </w:rPr>
      </w:pPr>
      <w:r>
        <w:rPr>
          <w:rFonts w:ascii="Times New Roman" w:hAnsi="Times New Roman"/>
          <w:sz w:val="24"/>
          <w:szCs w:val="24"/>
        </w:rPr>
        <w:t xml:space="preserve">  - zwrot wniosku, gdyż przedmiot sporu wykracza poza kategorię sporów objętych właściwością SSP:</w:t>
      </w:r>
    </w:p>
    <w:p w:rsidR="004F1CF7" w:rsidRDefault="004F1CF7" w:rsidP="004F1CF7">
      <w:pPr>
        <w:pStyle w:val="Akapitzlist"/>
        <w:numPr>
          <w:ilvl w:val="0"/>
          <w:numId w:val="2"/>
        </w:numPr>
        <w:tabs>
          <w:tab w:val="left" w:pos="7560"/>
        </w:tabs>
        <w:spacing w:line="360" w:lineRule="auto"/>
        <w:jc w:val="both"/>
        <w:rPr>
          <w:rFonts w:ascii="Times New Roman" w:hAnsi="Times New Roman"/>
          <w:sz w:val="24"/>
          <w:szCs w:val="24"/>
        </w:rPr>
      </w:pPr>
      <w:r>
        <w:rPr>
          <w:rFonts w:ascii="Times New Roman" w:hAnsi="Times New Roman"/>
          <w:sz w:val="24"/>
          <w:szCs w:val="24"/>
        </w:rPr>
        <w:t>dotyczący usługi remontowo – budowlanej – 1 wniosek</w:t>
      </w:r>
    </w:p>
    <w:p w:rsidR="004F1CF7" w:rsidRDefault="004F1CF7" w:rsidP="004F1CF7">
      <w:pPr>
        <w:pStyle w:val="Akapitzlist"/>
        <w:numPr>
          <w:ilvl w:val="0"/>
          <w:numId w:val="2"/>
        </w:numPr>
        <w:tabs>
          <w:tab w:val="left" w:pos="7560"/>
        </w:tabs>
        <w:spacing w:line="360" w:lineRule="auto"/>
        <w:jc w:val="both"/>
        <w:rPr>
          <w:rFonts w:ascii="Times New Roman" w:hAnsi="Times New Roman"/>
          <w:sz w:val="24"/>
          <w:szCs w:val="24"/>
        </w:rPr>
      </w:pPr>
      <w:r>
        <w:rPr>
          <w:rFonts w:ascii="Times New Roman" w:hAnsi="Times New Roman"/>
          <w:sz w:val="24"/>
          <w:szCs w:val="24"/>
        </w:rPr>
        <w:t>dotyczący innych usług – 3 wnioski</w:t>
      </w:r>
    </w:p>
    <w:p w:rsidR="004F1CF7" w:rsidRDefault="004F1CF7" w:rsidP="004F1CF7">
      <w:pPr>
        <w:tabs>
          <w:tab w:val="left" w:pos="7560"/>
        </w:tabs>
        <w:spacing w:line="360" w:lineRule="auto"/>
        <w:jc w:val="both"/>
        <w:rPr>
          <w:rFonts w:ascii="Times New Roman" w:hAnsi="Times New Roman"/>
          <w:sz w:val="24"/>
          <w:szCs w:val="24"/>
        </w:rPr>
      </w:pPr>
      <w:r>
        <w:rPr>
          <w:rFonts w:ascii="Times New Roman" w:hAnsi="Times New Roman"/>
          <w:sz w:val="24"/>
          <w:szCs w:val="24"/>
        </w:rPr>
        <w:t>Do załatwienia w 2021 r. pozostał 1 wniosek dotyczący sprzętu RTV i AGD na kwotę 1630 zł.</w:t>
      </w:r>
    </w:p>
    <w:p w:rsidR="004F1CF7" w:rsidRDefault="004F1CF7" w:rsidP="004F1CF7">
      <w:pPr>
        <w:tabs>
          <w:tab w:val="left" w:pos="7560"/>
        </w:tabs>
        <w:spacing w:line="360" w:lineRule="auto"/>
        <w:jc w:val="both"/>
        <w:rPr>
          <w:rFonts w:ascii="Times New Roman" w:hAnsi="Times New Roman"/>
          <w:sz w:val="24"/>
          <w:szCs w:val="24"/>
        </w:rPr>
      </w:pPr>
      <w:r>
        <w:rPr>
          <w:rFonts w:ascii="Times New Roman" w:hAnsi="Times New Roman"/>
          <w:sz w:val="24"/>
          <w:szCs w:val="24"/>
        </w:rPr>
        <w:t xml:space="preserve">             Z poprzedniego okresu do załatwienia pozostał: 1 wniosek dotyczący usługi remontowo– budowlanej na kwotę 11983 zł - sprawa zakończyła się wyrokiem oddalającym, oraz 1 wniosek dotyczący obuwia na kwotę 285 zł, gdzie przedsiębiorca nie wyraził zgody na rozpatrzenie sprawy i zwrócono wniosek powodowi.</w:t>
      </w:r>
    </w:p>
    <w:p w:rsidR="004F1CF7" w:rsidRDefault="004F1CF7" w:rsidP="004F1CF7">
      <w:pPr>
        <w:tabs>
          <w:tab w:val="left" w:pos="7560"/>
        </w:tabs>
        <w:spacing w:line="360" w:lineRule="auto"/>
        <w:jc w:val="both"/>
        <w:rPr>
          <w:rFonts w:ascii="Times New Roman" w:hAnsi="Times New Roman"/>
          <w:sz w:val="24"/>
          <w:szCs w:val="24"/>
        </w:rPr>
      </w:pPr>
      <w:r>
        <w:rPr>
          <w:rFonts w:ascii="Times New Roman" w:hAnsi="Times New Roman"/>
          <w:sz w:val="24"/>
          <w:szCs w:val="24"/>
        </w:rPr>
        <w:t xml:space="preserve">              Najczęstszym powodem sporów konsumenckich toczących się przed tut. Sądem było nieuznanie reklamacji towarów i usług. </w:t>
      </w:r>
    </w:p>
    <w:p w:rsidR="004F1CF7" w:rsidRDefault="004F1CF7" w:rsidP="004F1CF7">
      <w:pPr>
        <w:tabs>
          <w:tab w:val="left" w:pos="7560"/>
        </w:tabs>
        <w:spacing w:line="360" w:lineRule="auto"/>
        <w:jc w:val="both"/>
        <w:rPr>
          <w:rFonts w:ascii="Times New Roman" w:hAnsi="Times New Roman"/>
          <w:sz w:val="24"/>
          <w:szCs w:val="24"/>
        </w:rPr>
      </w:pPr>
      <w:r>
        <w:rPr>
          <w:rFonts w:ascii="Times New Roman" w:hAnsi="Times New Roman"/>
          <w:sz w:val="24"/>
          <w:szCs w:val="24"/>
        </w:rPr>
        <w:t xml:space="preserve">             Ponadto:</w:t>
      </w:r>
    </w:p>
    <w:p w:rsidR="004F1CF7" w:rsidRDefault="004F1CF7" w:rsidP="004F1CF7">
      <w:pPr>
        <w:tabs>
          <w:tab w:val="left" w:pos="7560"/>
        </w:tabs>
        <w:spacing w:line="360" w:lineRule="auto"/>
        <w:jc w:val="both"/>
        <w:rPr>
          <w:rFonts w:ascii="Times New Roman" w:hAnsi="Times New Roman"/>
          <w:sz w:val="24"/>
          <w:szCs w:val="24"/>
        </w:rPr>
      </w:pPr>
      <w:r>
        <w:rPr>
          <w:rFonts w:ascii="Times New Roman" w:hAnsi="Times New Roman"/>
          <w:sz w:val="24"/>
          <w:szCs w:val="24"/>
        </w:rPr>
        <w:t xml:space="preserve">- w omawianym okresie nie było przypadków, aby przedsiębiorca oprócz wyrażenia zgody na sąd jednocześnie składał propozycję ugody, </w:t>
      </w:r>
    </w:p>
    <w:p w:rsidR="004F1CF7" w:rsidRDefault="004F1CF7" w:rsidP="004F1CF7">
      <w:pPr>
        <w:tabs>
          <w:tab w:val="left" w:pos="7560"/>
        </w:tabs>
        <w:spacing w:line="360" w:lineRule="auto"/>
        <w:jc w:val="both"/>
        <w:rPr>
          <w:rFonts w:ascii="Times New Roman" w:hAnsi="Times New Roman"/>
          <w:sz w:val="24"/>
          <w:szCs w:val="24"/>
        </w:rPr>
      </w:pPr>
      <w:r>
        <w:rPr>
          <w:rFonts w:ascii="Times New Roman" w:hAnsi="Times New Roman"/>
          <w:sz w:val="24"/>
          <w:szCs w:val="24"/>
        </w:rPr>
        <w:t xml:space="preserve">- w omawianym okresie nie odbyła się żadna  rozprawa ( jedynie odbyło się  1 posiedzenie kończące postępowanie w sprawie z 2019r.) , </w:t>
      </w:r>
    </w:p>
    <w:p w:rsidR="004F1CF7" w:rsidRDefault="004F1CF7" w:rsidP="004F1CF7">
      <w:pPr>
        <w:tabs>
          <w:tab w:val="left" w:pos="7560"/>
        </w:tabs>
        <w:spacing w:line="360" w:lineRule="auto"/>
        <w:jc w:val="both"/>
        <w:rPr>
          <w:rFonts w:ascii="Times New Roman" w:hAnsi="Times New Roman"/>
          <w:sz w:val="24"/>
          <w:szCs w:val="24"/>
        </w:rPr>
      </w:pPr>
      <w:r>
        <w:rPr>
          <w:rFonts w:ascii="Times New Roman" w:hAnsi="Times New Roman"/>
          <w:sz w:val="24"/>
          <w:szCs w:val="24"/>
        </w:rPr>
        <w:lastRenderedPageBreak/>
        <w:t>- termin  załatwienia sprawy od chwili wpłynięcia wniosku do zakończenia sprawy wynosił około 34 dni,</w:t>
      </w:r>
    </w:p>
    <w:p w:rsidR="004F1CF7" w:rsidRDefault="004F1CF7" w:rsidP="004F1CF7">
      <w:pPr>
        <w:tabs>
          <w:tab w:val="left" w:pos="7560"/>
        </w:tabs>
        <w:spacing w:line="360" w:lineRule="auto"/>
        <w:jc w:val="both"/>
        <w:rPr>
          <w:rFonts w:ascii="Times New Roman" w:hAnsi="Times New Roman"/>
          <w:sz w:val="24"/>
          <w:szCs w:val="24"/>
        </w:rPr>
      </w:pPr>
      <w:r>
        <w:rPr>
          <w:rFonts w:ascii="Times New Roman" w:hAnsi="Times New Roman"/>
          <w:sz w:val="24"/>
          <w:szCs w:val="24"/>
        </w:rPr>
        <w:t>- nie ma przedsiębiorców, którzy zawsze wyrażają zgodę na SSP,</w:t>
      </w:r>
    </w:p>
    <w:p w:rsidR="004F1CF7" w:rsidRDefault="004F1CF7" w:rsidP="004F1CF7">
      <w:pPr>
        <w:tabs>
          <w:tab w:val="left" w:pos="7560"/>
        </w:tabs>
        <w:spacing w:line="360" w:lineRule="auto"/>
        <w:jc w:val="both"/>
        <w:rPr>
          <w:rFonts w:ascii="Times New Roman" w:hAnsi="Times New Roman"/>
          <w:sz w:val="24"/>
          <w:szCs w:val="24"/>
        </w:rPr>
      </w:pPr>
      <w:r>
        <w:rPr>
          <w:rFonts w:ascii="Times New Roman" w:hAnsi="Times New Roman"/>
          <w:sz w:val="24"/>
          <w:szCs w:val="24"/>
        </w:rPr>
        <w:t>- są firmy, które nie poddają się orzecznictwu SSP - Sąd nie posiada wiedzy z jakiego powodu,</w:t>
      </w:r>
    </w:p>
    <w:p w:rsidR="004F1CF7" w:rsidRDefault="004F1CF7" w:rsidP="004F1CF7">
      <w:pPr>
        <w:tabs>
          <w:tab w:val="left" w:pos="7560"/>
        </w:tabs>
        <w:spacing w:line="360" w:lineRule="auto"/>
        <w:jc w:val="both"/>
        <w:rPr>
          <w:rFonts w:ascii="Times New Roman" w:hAnsi="Times New Roman"/>
          <w:sz w:val="24"/>
          <w:szCs w:val="24"/>
        </w:rPr>
      </w:pPr>
      <w:r>
        <w:rPr>
          <w:rFonts w:ascii="Times New Roman" w:hAnsi="Times New Roman"/>
          <w:sz w:val="24"/>
          <w:szCs w:val="24"/>
        </w:rPr>
        <w:t>- w omawianym okresie sąd nie korzystał z opinii rzeczoznawcy ds. jakości towarów lub usług - Sąd nie posiada arbitrów od konkretnych rodzajów spraw.</w:t>
      </w:r>
    </w:p>
    <w:p w:rsidR="004F1CF7" w:rsidRDefault="004F1CF7" w:rsidP="004F1CF7">
      <w:pPr>
        <w:tabs>
          <w:tab w:val="left" w:pos="7560"/>
        </w:tabs>
        <w:spacing w:line="360" w:lineRule="auto"/>
        <w:jc w:val="both"/>
        <w:rPr>
          <w:rFonts w:ascii="Times New Roman" w:hAnsi="Times New Roman"/>
          <w:sz w:val="24"/>
          <w:szCs w:val="24"/>
        </w:rPr>
      </w:pPr>
      <w:r>
        <w:rPr>
          <w:rFonts w:ascii="Times New Roman" w:hAnsi="Times New Roman"/>
          <w:sz w:val="24"/>
          <w:szCs w:val="24"/>
        </w:rPr>
        <w:t xml:space="preserve">           </w:t>
      </w:r>
    </w:p>
    <w:p w:rsidR="004F1CF7" w:rsidRDefault="004F1CF7" w:rsidP="004F1CF7">
      <w:pPr>
        <w:tabs>
          <w:tab w:val="left" w:pos="7560"/>
        </w:tabs>
        <w:spacing w:line="360" w:lineRule="auto"/>
        <w:jc w:val="both"/>
        <w:rPr>
          <w:rFonts w:ascii="Times New Roman" w:hAnsi="Times New Roman"/>
          <w:sz w:val="24"/>
          <w:szCs w:val="24"/>
        </w:rPr>
      </w:pPr>
    </w:p>
    <w:p w:rsidR="004F1CF7" w:rsidRDefault="004F1CF7" w:rsidP="004F1CF7">
      <w:pPr>
        <w:tabs>
          <w:tab w:val="left" w:pos="7560"/>
        </w:tabs>
        <w:spacing w:line="360" w:lineRule="auto"/>
        <w:jc w:val="both"/>
        <w:rPr>
          <w:rFonts w:ascii="Times New Roman" w:hAnsi="Times New Roman"/>
          <w:sz w:val="18"/>
          <w:szCs w:val="18"/>
        </w:rPr>
      </w:pPr>
      <w:r>
        <w:rPr>
          <w:rFonts w:ascii="Times New Roman" w:hAnsi="Times New Roman"/>
          <w:sz w:val="18"/>
          <w:szCs w:val="18"/>
        </w:rPr>
        <w:t>Załącznik:</w:t>
      </w:r>
    </w:p>
    <w:p w:rsidR="004F1CF7" w:rsidRDefault="004F1CF7" w:rsidP="004F1CF7">
      <w:pPr>
        <w:tabs>
          <w:tab w:val="left" w:pos="7560"/>
        </w:tabs>
        <w:spacing w:line="360" w:lineRule="auto"/>
        <w:jc w:val="both"/>
        <w:rPr>
          <w:rFonts w:ascii="Times New Roman" w:hAnsi="Times New Roman"/>
          <w:sz w:val="18"/>
          <w:szCs w:val="18"/>
        </w:rPr>
      </w:pPr>
      <w:r>
        <w:rPr>
          <w:rFonts w:ascii="Times New Roman" w:hAnsi="Times New Roman"/>
          <w:sz w:val="18"/>
          <w:szCs w:val="18"/>
        </w:rPr>
        <w:t>Zestawienie liczbowe</w:t>
      </w:r>
    </w:p>
    <w:p w:rsidR="004F1CF7" w:rsidRDefault="004F1CF7" w:rsidP="004F1CF7">
      <w:pPr>
        <w:tabs>
          <w:tab w:val="left" w:pos="7560"/>
        </w:tabs>
        <w:spacing w:line="360" w:lineRule="auto"/>
        <w:jc w:val="both"/>
        <w:rPr>
          <w:rFonts w:ascii="Times New Roman" w:hAnsi="Times New Roman"/>
          <w:sz w:val="18"/>
          <w:szCs w:val="18"/>
        </w:rPr>
      </w:pPr>
      <w:r>
        <w:rPr>
          <w:rFonts w:ascii="Times New Roman" w:hAnsi="Times New Roman"/>
          <w:sz w:val="18"/>
          <w:szCs w:val="18"/>
        </w:rPr>
        <w:t>Sporządziła: K. Pruc – sekretarz SSP</w:t>
      </w:r>
    </w:p>
    <w:p w:rsidR="004F1CF7" w:rsidRDefault="004F1CF7" w:rsidP="004F1CF7">
      <w:pPr>
        <w:tabs>
          <w:tab w:val="left" w:pos="7560"/>
        </w:tabs>
        <w:spacing w:line="360" w:lineRule="auto"/>
        <w:jc w:val="both"/>
        <w:rPr>
          <w:rFonts w:ascii="Times New Roman" w:hAnsi="Times New Roman"/>
          <w:sz w:val="24"/>
          <w:szCs w:val="24"/>
        </w:rPr>
      </w:pPr>
    </w:p>
    <w:p w:rsidR="004F1CF7" w:rsidRDefault="004F1CF7" w:rsidP="004F1CF7">
      <w:pPr>
        <w:tabs>
          <w:tab w:val="left" w:pos="7560"/>
        </w:tabs>
        <w:spacing w:line="360" w:lineRule="auto"/>
        <w:jc w:val="both"/>
        <w:rPr>
          <w:rFonts w:ascii="Times New Roman" w:hAnsi="Times New Roman"/>
          <w:sz w:val="24"/>
          <w:szCs w:val="24"/>
        </w:rPr>
      </w:pPr>
    </w:p>
    <w:p w:rsidR="004F1CF7" w:rsidRDefault="004F1CF7" w:rsidP="004F1CF7">
      <w:pPr>
        <w:tabs>
          <w:tab w:val="left" w:pos="7560"/>
        </w:tabs>
        <w:spacing w:line="360" w:lineRule="auto"/>
        <w:jc w:val="both"/>
        <w:rPr>
          <w:rFonts w:ascii="Times New Roman" w:hAnsi="Times New Roman"/>
          <w:sz w:val="24"/>
          <w:szCs w:val="24"/>
        </w:rPr>
      </w:pPr>
      <w:r>
        <w:rPr>
          <w:rFonts w:ascii="Times New Roman" w:hAnsi="Times New Roman"/>
          <w:sz w:val="24"/>
          <w:szCs w:val="24"/>
        </w:rPr>
        <w:t xml:space="preserve">      </w:t>
      </w:r>
    </w:p>
    <w:p w:rsidR="00CF0557" w:rsidRDefault="00CF0557"/>
    <w:sectPr w:rsidR="00CF0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6B89"/>
    <w:multiLevelType w:val="hybridMultilevel"/>
    <w:tmpl w:val="E4924E6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nsid w:val="2FCD13EA"/>
    <w:multiLevelType w:val="hybridMultilevel"/>
    <w:tmpl w:val="4F8AB3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3CBB115A"/>
    <w:multiLevelType w:val="hybridMultilevel"/>
    <w:tmpl w:val="A734065E"/>
    <w:lvl w:ilvl="0" w:tplc="04150005">
      <w:start w:val="1"/>
      <w:numFmt w:val="bullet"/>
      <w:lvlText w:val=""/>
      <w:lvlJc w:val="left"/>
      <w:pPr>
        <w:ind w:left="1320" w:hanging="360"/>
      </w:pPr>
      <w:rPr>
        <w:rFonts w:ascii="Wingdings" w:hAnsi="Wingdings" w:hint="default"/>
      </w:rPr>
    </w:lvl>
    <w:lvl w:ilvl="1" w:tplc="04150003">
      <w:start w:val="1"/>
      <w:numFmt w:val="bullet"/>
      <w:lvlText w:val="o"/>
      <w:lvlJc w:val="left"/>
      <w:pPr>
        <w:ind w:left="2040" w:hanging="360"/>
      </w:pPr>
      <w:rPr>
        <w:rFonts w:ascii="Courier New" w:hAnsi="Courier New" w:cs="Courier New" w:hint="default"/>
      </w:rPr>
    </w:lvl>
    <w:lvl w:ilvl="2" w:tplc="04150005">
      <w:start w:val="1"/>
      <w:numFmt w:val="bullet"/>
      <w:lvlText w:val=""/>
      <w:lvlJc w:val="left"/>
      <w:pPr>
        <w:ind w:left="2760" w:hanging="360"/>
      </w:pPr>
      <w:rPr>
        <w:rFonts w:ascii="Wingdings" w:hAnsi="Wingdings" w:hint="default"/>
      </w:rPr>
    </w:lvl>
    <w:lvl w:ilvl="3" w:tplc="04150001">
      <w:start w:val="1"/>
      <w:numFmt w:val="bullet"/>
      <w:lvlText w:val=""/>
      <w:lvlJc w:val="left"/>
      <w:pPr>
        <w:ind w:left="3480" w:hanging="360"/>
      </w:pPr>
      <w:rPr>
        <w:rFonts w:ascii="Symbol" w:hAnsi="Symbol" w:hint="default"/>
      </w:rPr>
    </w:lvl>
    <w:lvl w:ilvl="4" w:tplc="04150003">
      <w:start w:val="1"/>
      <w:numFmt w:val="bullet"/>
      <w:lvlText w:val="o"/>
      <w:lvlJc w:val="left"/>
      <w:pPr>
        <w:ind w:left="4200" w:hanging="360"/>
      </w:pPr>
      <w:rPr>
        <w:rFonts w:ascii="Courier New" w:hAnsi="Courier New" w:cs="Courier New" w:hint="default"/>
      </w:rPr>
    </w:lvl>
    <w:lvl w:ilvl="5" w:tplc="04150005">
      <w:start w:val="1"/>
      <w:numFmt w:val="bullet"/>
      <w:lvlText w:val=""/>
      <w:lvlJc w:val="left"/>
      <w:pPr>
        <w:ind w:left="4920" w:hanging="360"/>
      </w:pPr>
      <w:rPr>
        <w:rFonts w:ascii="Wingdings" w:hAnsi="Wingdings" w:hint="default"/>
      </w:rPr>
    </w:lvl>
    <w:lvl w:ilvl="6" w:tplc="04150001">
      <w:start w:val="1"/>
      <w:numFmt w:val="bullet"/>
      <w:lvlText w:val=""/>
      <w:lvlJc w:val="left"/>
      <w:pPr>
        <w:ind w:left="5640" w:hanging="360"/>
      </w:pPr>
      <w:rPr>
        <w:rFonts w:ascii="Symbol" w:hAnsi="Symbol" w:hint="default"/>
      </w:rPr>
    </w:lvl>
    <w:lvl w:ilvl="7" w:tplc="04150003">
      <w:start w:val="1"/>
      <w:numFmt w:val="bullet"/>
      <w:lvlText w:val="o"/>
      <w:lvlJc w:val="left"/>
      <w:pPr>
        <w:ind w:left="6360" w:hanging="360"/>
      </w:pPr>
      <w:rPr>
        <w:rFonts w:ascii="Courier New" w:hAnsi="Courier New" w:cs="Courier New" w:hint="default"/>
      </w:rPr>
    </w:lvl>
    <w:lvl w:ilvl="8" w:tplc="04150005">
      <w:start w:val="1"/>
      <w:numFmt w:val="bullet"/>
      <w:lvlText w:val=""/>
      <w:lvlJc w:val="left"/>
      <w:pPr>
        <w:ind w:left="7080" w:hanging="360"/>
      </w:pPr>
      <w:rPr>
        <w:rFonts w:ascii="Wingdings" w:hAnsi="Wingdings" w:hint="default"/>
      </w:rPr>
    </w:lvl>
  </w:abstractNum>
  <w:abstractNum w:abstractNumId="3">
    <w:nsid w:val="4AD46625"/>
    <w:multiLevelType w:val="hybridMultilevel"/>
    <w:tmpl w:val="EFE4A9B4"/>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4">
    <w:nsid w:val="7B54279D"/>
    <w:multiLevelType w:val="hybridMultilevel"/>
    <w:tmpl w:val="A69E7B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F7"/>
    <w:rsid w:val="002C2C86"/>
    <w:rsid w:val="004F1CF7"/>
    <w:rsid w:val="005B0BA9"/>
    <w:rsid w:val="00CD5B6E"/>
    <w:rsid w:val="00CF05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1CF7"/>
    <w:pPr>
      <w:spacing w:after="0" w:line="240" w:lineRule="auto"/>
    </w:pPr>
    <w:rPr>
      <w:rFonts w:ascii="Bookman Old Style" w:eastAsia="Times New Roman" w:hAnsi="Bookman Old Style"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1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1CF7"/>
    <w:pPr>
      <w:spacing w:after="0" w:line="240" w:lineRule="auto"/>
    </w:pPr>
    <w:rPr>
      <w:rFonts w:ascii="Bookman Old Style" w:eastAsia="Times New Roman" w:hAnsi="Bookman Old Style"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1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3358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Pruc</dc:creator>
  <cp:lastModifiedBy>Marcin Ożóg</cp:lastModifiedBy>
  <cp:revision>2</cp:revision>
  <dcterms:created xsi:type="dcterms:W3CDTF">2021-01-25T06:40:00Z</dcterms:created>
  <dcterms:modified xsi:type="dcterms:W3CDTF">2021-01-25T06:40:00Z</dcterms:modified>
</cp:coreProperties>
</file>