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9012" w14:textId="1F5A7FBE" w:rsidR="00D603F4" w:rsidRPr="000966B7" w:rsidRDefault="00D603F4" w:rsidP="004A24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89.2023</w:t>
                            </w:r>
                          </w:p>
                          <w:permEnd w:id="1333005240"/>
                          <w:p w14:paraId="7F650AC3" w14:textId="173BA023" w:rsidR="00D603F4" w:rsidRPr="000966B7" w:rsidRDefault="00D603F4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00A79012" w14:textId="1F5A7FBE" w:rsidR="00D603F4" w:rsidRPr="000966B7" w:rsidRDefault="00D603F4" w:rsidP="004A24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89.2023</w:t>
                      </w:r>
                    </w:p>
                    <w:permEnd w:id="1333005240"/>
                    <w:p w14:paraId="7F650AC3" w14:textId="173BA023" w:rsidR="00D603F4" w:rsidRPr="000966B7" w:rsidRDefault="00D603F4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9E274B3">
                <wp:simplePos x="0" y="0"/>
                <wp:positionH relativeFrom="column">
                  <wp:posOffset>3357880</wp:posOffset>
                </wp:positionH>
                <wp:positionV relativeFrom="page">
                  <wp:posOffset>895350</wp:posOffset>
                </wp:positionV>
                <wp:extent cx="24745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0E7AC9EE" w:rsidR="00D603F4" w:rsidRPr="00562492" w:rsidRDefault="00D603F4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67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7C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kwietnia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64.4pt;margin-top:70.5pt;width:194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" stroked="f">
                <v:textbox style="mso-fit-shape-to-text:t">
                  <w:txbxContent>
                    <w:p w14:paraId="5269C88D" w14:textId="0E7AC9EE" w:rsidR="00D603F4" w:rsidRPr="00562492" w:rsidRDefault="00D603F4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C67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67C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kwietnia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D603F4" w:rsidRPr="004900F4" w:rsidRDefault="00D603F4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D603F4" w:rsidRPr="004900F4" w:rsidRDefault="00D603F4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D603F4" w:rsidRPr="004900F4" w:rsidRDefault="00D603F4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D603F4" w:rsidRPr="004900F4" w:rsidRDefault="00D603F4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D603F4" w:rsidRPr="004900F4" w:rsidRDefault="00D603F4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D603F4" w:rsidRPr="004900F4" w:rsidRDefault="00D603F4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D603F4" w:rsidRPr="004900F4" w:rsidRDefault="00D603F4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D603F4" w:rsidRPr="004900F4" w:rsidRDefault="00D603F4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D603F4" w:rsidRPr="004900F4" w:rsidRDefault="00D603F4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D603F4" w:rsidRPr="004900F4" w:rsidRDefault="00D603F4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D603F4" w:rsidRPr="004900F4" w:rsidRDefault="00D603F4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D603F4" w:rsidRPr="004900F4" w:rsidRDefault="00D603F4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E6151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BD7129A" w14:textId="77777777" w:rsidR="004532D2" w:rsidRDefault="004532D2" w:rsidP="00300525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</w:p>
    <w:p w14:paraId="44F17191" w14:textId="77777777" w:rsidR="004532D2" w:rsidRDefault="004532D2" w:rsidP="00300525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</w:p>
    <w:p w14:paraId="5DA1FBAC" w14:textId="23908E07" w:rsidR="003D6767" w:rsidRDefault="003D6767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2A40DC96" w14:textId="20C100DB" w:rsidR="003D6767" w:rsidRDefault="003D6767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ograniczona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odpowiedzialnością</w:t>
      </w:r>
    </w:p>
    <w:p w14:paraId="155B3DF0" w14:textId="29CE4308" w:rsidR="003D6767" w:rsidRDefault="00A20321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A20321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3D6767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6863D2B0" w14:textId="12F0D73B" w:rsidR="003D6767" w:rsidRDefault="00A20321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A20321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 xml:space="preserve"> </w:t>
      </w:r>
      <w:r w:rsidR="002E60A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Kostrzyn</w:t>
      </w:r>
    </w:p>
    <w:p w14:paraId="7BCCCE04" w14:textId="05A9CCEB" w:rsidR="002E60A5" w:rsidRDefault="002E60A5" w:rsidP="003D6767">
      <w:pPr>
        <w:ind w:left="2836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>reprezentowana</w:t>
      </w:r>
      <w:r w:rsidR="00B8036B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>przez:</w:t>
      </w:r>
    </w:p>
    <w:p w14:paraId="7957C749" w14:textId="16DB737E" w:rsidR="002E60A5" w:rsidRDefault="002E60A5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2E60A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radcę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2E60A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prawnego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</w:p>
    <w:p w14:paraId="4CC16AC4" w14:textId="15282199" w:rsidR="002E60A5" w:rsidRDefault="002E60A5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ul.</w:t>
      </w:r>
      <w:r w:rsidR="00B8036B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="00E12718" w:rsidRPr="00E12718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,</w:t>
      </w:r>
    </w:p>
    <w:p w14:paraId="0B0EF314" w14:textId="0AB8534F" w:rsidR="002E60A5" w:rsidRPr="002E60A5" w:rsidRDefault="00E12718" w:rsidP="003D6767">
      <w:pPr>
        <w:ind w:left="2836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E12718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 xml:space="preserve"> </w:t>
      </w:r>
      <w:r w:rsidR="002E60A5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Warszawa</w:t>
      </w:r>
    </w:p>
    <w:p w14:paraId="314E6B1B" w14:textId="77777777" w:rsidR="004A2488" w:rsidRPr="00A86A55" w:rsidRDefault="004A2488" w:rsidP="004A2488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4F6752" w14:textId="77777777" w:rsidR="00F52D1A" w:rsidRPr="00F52D1A" w:rsidRDefault="00F52D1A" w:rsidP="00F52D1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593B8603" w14:textId="6AF7F7B4" w:rsidR="00F52D1A" w:rsidRPr="00F52D1A" w:rsidRDefault="00E265A7" w:rsidP="00F52D1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pieniężnych</w:t>
      </w:r>
    </w:p>
    <w:p w14:paraId="6DDE2CA4" w14:textId="69B5C928" w:rsidR="0056788C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1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8E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8E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2227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hAnsi="Times New Roman" w:cs="Times New Roman"/>
        </w:rPr>
        <w:t xml:space="preserve"> </w:t>
      </w:r>
      <w:r w:rsidR="005F25A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525">
        <w:rPr>
          <w:rFonts w:ascii="Times New Roman" w:eastAsia="Times New Roman" w:hAnsi="Times New Roman" w:cs="Times New Roman"/>
          <w:sz w:val="24"/>
          <w:szCs w:val="24"/>
          <w:lang w:eastAsia="pl-PL"/>
        </w:rPr>
        <w:t>755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9C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ograniczoną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 w:rsidRP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odpowiedzialnością</w:t>
      </w:r>
      <w:r w:rsidR="003D6767" w:rsidRP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D6767" w:rsidRPr="00B8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Kostrzyn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36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cztery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tysiące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43B4"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złotych)</w:t>
      </w:r>
      <w:r w:rsidR="001B43B4" w:rsidRP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8036B" w:rsidRP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B43B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3B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8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E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767">
        <w:rPr>
          <w:rFonts w:ascii="Times New Roman" w:eastAsia="Times New Roman" w:hAnsi="Times New Roman" w:cs="Times New Roman"/>
          <w:sz w:val="24"/>
          <w:szCs w:val="24"/>
          <w:lang w:eastAsia="pl-PL"/>
        </w:rPr>
        <w:t>844,70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8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tj.:</w:t>
      </w:r>
    </w:p>
    <w:p w14:paraId="1B3265B1" w14:textId="0569E6B3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modelująca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Coconut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Palette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26,99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53,98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777403A6" w14:textId="1D253490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Róż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policzków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RD3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Glamour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26,99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53,98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38BCFB08" w14:textId="69339BB3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Super-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blendable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foundation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True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match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L’Oréal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46,79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233,95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44F721F8" w14:textId="6292F78A" w:rsidR="003D6767" w:rsidRPr="00170FC5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Foundation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powder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Infaillible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24H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freshwear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vanilia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L’Oréal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oftHyphen/>
        <w:t>wielkość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48,99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146,97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70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zł</w:t>
      </w:r>
    </w:p>
    <w:p w14:paraId="57DF0C8C" w14:textId="222E6E0C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Shampooing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anti-dessèchment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Nutri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Extréme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Dessange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24,99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124,95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22F12E74" w14:textId="08E5FE90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Shampooing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nutrii-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illuminat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Blond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Californien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Dessange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24,99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124,95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198FD895" w14:textId="4A2E33CA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Nawilżający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balsam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ciała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masłem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Plamer’s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35,99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E7487B3" w14:textId="21DDD7C4" w:rsidR="003D6767" w:rsidRPr="009774BD" w:rsidRDefault="003D6767" w:rsidP="00203142">
      <w:pPr>
        <w:numPr>
          <w:ilvl w:val="0"/>
          <w:numId w:val="1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Maska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Honeyfull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nasil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[elastyczność/odżywianie]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9,99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69,93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5A79A0DA" w14:textId="1741072C" w:rsidR="005F25A6" w:rsidRDefault="005F25A6" w:rsidP="00203142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stwierdzono:</w:t>
      </w:r>
    </w:p>
    <w:p w14:paraId="1D65DF8F" w14:textId="6ED5B34E" w:rsidR="00962238" w:rsidRPr="009774BD" w:rsidRDefault="00962238" w:rsidP="0047065B">
      <w:pPr>
        <w:pStyle w:val="Akapitzlist"/>
        <w:numPr>
          <w:ilvl w:val="0"/>
          <w:numId w:val="30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3-8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3E3CB3" w14:textId="2513F77A" w:rsidR="00962238" w:rsidRPr="009774BD" w:rsidRDefault="00962238" w:rsidP="0047065B">
      <w:pPr>
        <w:pStyle w:val="Akapitzlist"/>
        <w:numPr>
          <w:ilvl w:val="1"/>
          <w:numId w:val="30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3-4)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francuskim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5-6),</w:t>
      </w:r>
    </w:p>
    <w:p w14:paraId="36AB915E" w14:textId="2A97EED0" w:rsidR="00962238" w:rsidRPr="009774BD" w:rsidRDefault="00962238" w:rsidP="0047065B">
      <w:pPr>
        <w:pStyle w:val="Akapitzlist"/>
        <w:numPr>
          <w:ilvl w:val="1"/>
          <w:numId w:val="30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(poz.7),</w:t>
      </w:r>
    </w:p>
    <w:p w14:paraId="6EF4A407" w14:textId="22363400" w:rsidR="00962238" w:rsidRPr="009774BD" w:rsidRDefault="00962238" w:rsidP="0047065B">
      <w:pPr>
        <w:pStyle w:val="Akapitzlist"/>
        <w:numPr>
          <w:ilvl w:val="1"/>
          <w:numId w:val="30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</w:p>
    <w:p w14:paraId="3A459B6D" w14:textId="1629F662" w:rsidR="00962238" w:rsidRPr="009774BD" w:rsidRDefault="00962238" w:rsidP="0047065B">
      <w:pPr>
        <w:tabs>
          <w:tab w:val="left" w:pos="426"/>
        </w:tabs>
        <w:spacing w:before="12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342,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224B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zwanego dalej „rozporządzeniem 1223/2009 </w:t>
      </w:r>
    </w:p>
    <w:p w14:paraId="72AB30DF" w14:textId="4E5EB160" w:rsidR="00962238" w:rsidRDefault="00962238" w:rsidP="0047065B">
      <w:pPr>
        <w:pStyle w:val="Akapitzlist"/>
        <w:numPr>
          <w:ilvl w:val="0"/>
          <w:numId w:val="30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1-2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26679B" w14:textId="58624E32" w:rsidR="00962238" w:rsidRPr="0047065B" w:rsidRDefault="00962238" w:rsidP="0047065B">
      <w:pPr>
        <w:tabs>
          <w:tab w:val="left" w:pos="426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naruszenia wskazane w punktach </w:t>
      </w:r>
      <w:r w:rsidR="0047065B" w:rsidRPr="00470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7065B" w:rsidRPr="00470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sentencji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A2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produktach kosmetycznych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065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="0047065B" w:rsidRPr="00470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3000</w:t>
      </w:r>
      <w:r w:rsidR="00B8036B" w:rsidRPr="00470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0AB8" w:rsidRPr="00470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7275DD" w:rsidRPr="00470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11A2CE71" w14:textId="77777777" w:rsidR="0047065B" w:rsidRPr="00AD3A2A" w:rsidRDefault="0047065B" w:rsidP="0047065B">
      <w:pPr>
        <w:tabs>
          <w:tab w:val="left" w:pos="426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7E1776" w14:textId="77777777" w:rsidR="0047065B" w:rsidRDefault="00962238" w:rsidP="0047065B">
      <w:pPr>
        <w:pStyle w:val="Akapitzlist"/>
        <w:numPr>
          <w:ilvl w:val="0"/>
          <w:numId w:val="30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wbrew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przepisom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851AF" w14:textId="06B54754" w:rsidR="005F181E" w:rsidRPr="0047065B" w:rsidRDefault="00A10B53" w:rsidP="0047065B">
      <w:pPr>
        <w:tabs>
          <w:tab w:val="left" w:pos="426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5DD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99" w:rsidRPr="00470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1000</w:t>
      </w:r>
      <w:r w:rsidR="00B8036B" w:rsidRPr="00470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</w:p>
    <w:p w14:paraId="032DFD0C" w14:textId="77777777" w:rsidR="00F52D1A" w:rsidRPr="00750F8F" w:rsidRDefault="00F52D1A" w:rsidP="0020314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1651580E" w14:textId="430720F0" w:rsidR="00F52D1A" w:rsidRPr="00750F8F" w:rsidRDefault="00F52D1A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3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312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D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2227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kosmetycznych”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342,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59,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„rozporządzeniem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1223/2009”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2019/1020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2004/42/WE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765/2008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305/2011</w:t>
      </w:r>
      <w:r w:rsidR="00AD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169</w:t>
      </w:r>
      <w:r w:rsidR="00AD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25.06.2019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AD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6,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9,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86C5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rolę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C5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DA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0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ograniczoną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06DB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D0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3A8F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„kontrolowanym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„przedsiębiorcą”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„stroną”.</w:t>
      </w:r>
    </w:p>
    <w:p w14:paraId="49ABC863" w14:textId="7EB0AF0E" w:rsidR="00F52D1A" w:rsidRDefault="00F52D1A" w:rsidP="00203142">
      <w:p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oferowanymi</w:t>
      </w:r>
      <w:r w:rsidR="00AD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</w:t>
      </w:r>
      <w:r w:rsidR="00B212BB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2B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hAnsi="Times New Roman" w:cs="Times New Roman"/>
        </w:rPr>
        <w:t xml:space="preserve"> 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B7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</w:t>
      </w:r>
      <w:r w:rsidR="0019030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0C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B7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B7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B7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B7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</w:t>
      </w:r>
      <w:r w:rsidR="009E3E16">
        <w:rPr>
          <w:rFonts w:ascii="Times New Roman" w:eastAsia="Times New Roman" w:hAnsi="Times New Roman" w:cs="Times New Roman"/>
          <w:sz w:val="24"/>
          <w:szCs w:val="24"/>
          <w:lang w:eastAsia="pl-PL"/>
        </w:rPr>
        <w:t>osła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B7F">
        <w:rPr>
          <w:rFonts w:ascii="Times New Roman" w:eastAsia="Times New Roman" w:hAnsi="Times New Roman" w:cs="Times New Roman"/>
          <w:sz w:val="24"/>
          <w:szCs w:val="24"/>
          <w:lang w:eastAsia="pl-PL"/>
        </w:rPr>
        <w:t>844,70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BAD70E" w14:textId="61DFE20C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modelująca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Coconut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Palette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26,99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53,98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13D92010" w14:textId="6C4F3A94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Róż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policzków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RD3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Glamour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26,99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53,98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0BAFAF7A" w14:textId="4BEECAA1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Super-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blendable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foundation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True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match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L’Oréal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46,79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233,95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6DEB8E7E" w14:textId="76CDBFA8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Foundation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powder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Infaillible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24H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freshwear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vanilia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L’Oréal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48,99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146,97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00C67A4D" w14:textId="1DC170E3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Shampooing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anti-dessèchment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Nutri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Extréme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Dessange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24,99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124,95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594E9FA2" w14:textId="2257B0B5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Shampooing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nutrii-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illuminat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Blond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Californien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Dessange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24,99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zł/szt.,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124,95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384EE484" w14:textId="2D4EC90A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Nawilżający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balsam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ciała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masłem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Plamer’s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35,99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45A17904" w14:textId="3718BE29" w:rsidR="00C04B7F" w:rsidRPr="009774BD" w:rsidRDefault="00C04B7F" w:rsidP="00203142">
      <w:pPr>
        <w:numPr>
          <w:ilvl w:val="0"/>
          <w:numId w:val="32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Honeyfull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nasil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[elastyczność/odżywianie]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szt.,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9,99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69,93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5385CBF4" w14:textId="77777777" w:rsidR="002977E5" w:rsidRDefault="002977E5" w:rsidP="00203142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A85A1" w14:textId="690DDA8A" w:rsidR="00F52D1A" w:rsidRPr="00750F8F" w:rsidRDefault="003D70C5" w:rsidP="00203142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F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66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nieprawidłowości:</w:t>
      </w:r>
    </w:p>
    <w:p w14:paraId="6BD7F53D" w14:textId="0CD42881" w:rsidR="009B64EE" w:rsidRPr="009B64EE" w:rsidRDefault="00C83022" w:rsidP="00203142">
      <w:pPr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nieprawidłowe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akowanie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(produkty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3-8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3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9B6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8695622" w14:textId="0DF21F11" w:rsidR="009B64EE" w:rsidRPr="00A60C24" w:rsidRDefault="009B64EE" w:rsidP="00203142">
      <w:pPr>
        <w:numPr>
          <w:ilvl w:val="1"/>
          <w:numId w:val="19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3-4)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francuskim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5-6),</w:t>
      </w:r>
    </w:p>
    <w:p w14:paraId="066117BB" w14:textId="1FF4F29C" w:rsidR="00C36B33" w:rsidRPr="00A60C24" w:rsidRDefault="009B64EE" w:rsidP="00203142">
      <w:pPr>
        <w:numPr>
          <w:ilvl w:val="1"/>
          <w:numId w:val="19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36B33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E4A3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A45E7C" w14:textId="6634BA1D" w:rsidR="00C83022" w:rsidRPr="00A60C24" w:rsidRDefault="00C36B33" w:rsidP="00203142">
      <w:pPr>
        <w:numPr>
          <w:ilvl w:val="1"/>
          <w:numId w:val="19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0E4A3E" w:rsidRP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CEC3F2" w14:textId="67D4644C" w:rsidR="00C36B33" w:rsidRPr="00C36B33" w:rsidRDefault="00C36B33" w:rsidP="002977E5">
      <w:pPr>
        <w:pStyle w:val="Akapitzlist"/>
        <w:tabs>
          <w:tab w:val="left" w:pos="426"/>
        </w:tabs>
        <w:spacing w:before="120" w:line="276" w:lineRule="auto"/>
        <w:ind w:left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(data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trwałości),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(szczególne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(funkcja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kosmetycznego),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6B3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ępniany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końcowemu;</w:t>
      </w:r>
    </w:p>
    <w:p w14:paraId="59293881" w14:textId="5303492D" w:rsidR="00C36B33" w:rsidRDefault="00C36B33" w:rsidP="002977E5">
      <w:pPr>
        <w:pStyle w:val="Akapitzlist"/>
        <w:numPr>
          <w:ilvl w:val="0"/>
          <w:numId w:val="19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1-2),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</w:t>
      </w:r>
      <w:r w:rsidR="00B212BB">
        <w:rPr>
          <w:rFonts w:ascii="Times New Roman" w:eastAsia="Times New Roman" w:hAnsi="Times New Roman" w:cs="Times New Roman"/>
          <w:sz w:val="24"/>
          <w:szCs w:val="24"/>
          <w:lang w:eastAsia="pl-PL"/>
        </w:rPr>
        <w:t>zne,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nieusuwalne,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łatwe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E0" w:rsidRPr="003817E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ingredients</w:t>
      </w:r>
      <w:proofErr w:type="spellEnd"/>
      <w:r w:rsidR="000E4A3E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14:paraId="17715584" w14:textId="22BB465F" w:rsidR="0040121E" w:rsidRPr="0040121E" w:rsidRDefault="003817E0" w:rsidP="002977E5">
      <w:pPr>
        <w:pStyle w:val="Akapitzlist"/>
        <w:numPr>
          <w:ilvl w:val="0"/>
          <w:numId w:val="19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przypisujące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produktowi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kosmetycznemu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7)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ten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posiada,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ekstrakt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owsa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łagodzi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koi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podrażnienia</w:t>
      </w:r>
      <w:r w:rsidR="0040121E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zaś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powyżej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wskazanym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etykiecie,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udostępniania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reklamowania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tekst,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nazwy,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znaki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towarowe,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obrazy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inne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znaki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używane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tak,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przypisywać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produktom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0121E" w:rsidRPr="009774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posiadają.</w:t>
      </w:r>
    </w:p>
    <w:p w14:paraId="4CCA3972" w14:textId="6AE39F3B" w:rsidR="00CF0F9D" w:rsidRPr="00560C0D" w:rsidRDefault="00CF0F9D" w:rsidP="00203142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7C602" w14:textId="221D1ECA" w:rsidR="00355F76" w:rsidRDefault="00CF0F9D" w:rsidP="00203142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8EE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F7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C2FC1D" w14:textId="0C309783" w:rsidR="002B32C0" w:rsidRPr="00D3755B" w:rsidRDefault="002B32C0" w:rsidP="00203142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toku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55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wspólnoty.</w:t>
      </w:r>
    </w:p>
    <w:p w14:paraId="702CEE32" w14:textId="624C960B" w:rsidR="00F52D1A" w:rsidRPr="00750F8F" w:rsidRDefault="00F52D1A" w:rsidP="00203142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E1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="00473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6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3B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CA7F8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F9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B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5B67F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DA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wnoszono.</w:t>
      </w:r>
    </w:p>
    <w:p w14:paraId="1C52B60A" w14:textId="45868875" w:rsidR="009F1D0B" w:rsidRDefault="004F71C6" w:rsidP="00203142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F90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F90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F90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F90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F9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16a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8E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7E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314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pism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CB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0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B3537E" w14:textId="77777777" w:rsidR="009F1D0B" w:rsidRDefault="009F1D0B" w:rsidP="00203142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93CB7" w14:textId="40B98FCA" w:rsidR="00084215" w:rsidRDefault="00D83149" w:rsidP="00203142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C24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[xxx]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balsamie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się: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988F1E" w14:textId="2741B523" w:rsidR="00084215" w:rsidRDefault="00084215" w:rsidP="00203142">
      <w:pPr>
        <w:pStyle w:val="Akapitzlist"/>
        <w:numPr>
          <w:ilvl w:val="0"/>
          <w:numId w:val="33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Butyrospermum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Parkii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Shea</w:t>
      </w:r>
      <w:proofErr w:type="spellEnd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Butter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masło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shea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silnie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nawilżającym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emolientem</w:t>
      </w:r>
      <w:proofErr w:type="spellEnd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witaminę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antyoksydantem,</w:t>
      </w:r>
    </w:p>
    <w:p w14:paraId="45B68449" w14:textId="62259028" w:rsidR="00084215" w:rsidRDefault="00084215" w:rsidP="00203142">
      <w:pPr>
        <w:pStyle w:val="Akapitzlist"/>
        <w:numPr>
          <w:ilvl w:val="0"/>
          <w:numId w:val="33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Sclerocarya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Birrea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Seed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Oil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olejek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marula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olejku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skóra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nabiera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blasku,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faktury,</w:t>
      </w:r>
    </w:p>
    <w:p w14:paraId="226A52C3" w14:textId="5219572D" w:rsidR="009F1D0B" w:rsidRDefault="00084215" w:rsidP="00203142">
      <w:pPr>
        <w:pStyle w:val="Akapitzlist"/>
        <w:numPr>
          <w:ilvl w:val="0"/>
          <w:numId w:val="33"/>
        </w:num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Avena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Sativa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Meal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Extract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ekstrakt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owsa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znany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łagodzących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kojących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(zalecany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skór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wrażliwych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skłonnych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dermatoz)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1D82BE" w14:textId="77777777" w:rsidR="00084215" w:rsidRPr="00084215" w:rsidRDefault="00084215" w:rsidP="00203142">
      <w:pPr>
        <w:pStyle w:val="Akapitzlist"/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DFBDB" w14:textId="3ED30C73" w:rsidR="00020E85" w:rsidRPr="0047065B" w:rsidRDefault="009F1D0B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21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7E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7E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663AD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32D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 [xxx]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5D587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0B7D6" w14:textId="7883DA73" w:rsidR="009B49F9" w:rsidRPr="0047065B" w:rsidRDefault="00B137EB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podjął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Maska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Honeyfull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nasil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mask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[elastyczność/odżywianie]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Skin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79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„najlepiej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końcem”.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pisma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poprawionym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17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17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17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naklejki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17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17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01260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ACD7B1" w14:textId="7DDE0115" w:rsidR="007615BE" w:rsidRDefault="009B49F9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1-2)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81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czego</w:t>
      </w:r>
      <w:r w:rsidR="0081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ulotki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INCI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5B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mogło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niewiedzy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4B4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oświadczył,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wyśle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</w:t>
      </w:r>
      <w:r w:rsidR="0081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[xxx] 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książeczki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874">
        <w:rPr>
          <w:rFonts w:ascii="Times New Roman" w:eastAsia="Times New Roman" w:hAnsi="Times New Roman" w:cs="Times New Roman"/>
          <w:sz w:val="24"/>
          <w:szCs w:val="24"/>
          <w:lang w:eastAsia="pl-PL"/>
        </w:rPr>
        <w:t>(ulotk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i),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pobliżu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szafy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marki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B4423E" w14:textId="3820633C" w:rsidR="005D5874" w:rsidRDefault="005D5874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9F9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odniósł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3-6)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działaniach</w:t>
      </w:r>
      <w:r w:rsidR="0081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makijażu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3-4)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klienci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mieć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zdefiniowaniem.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opierać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przeczytać,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paskach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produktowych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polskim,</w:t>
      </w:r>
      <w:r w:rsidR="00815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staranności.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737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zmodyfikować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wyprodukować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nowe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rynek,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zaznaczeniu,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nowymi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7B4D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etykietami.</w:t>
      </w:r>
    </w:p>
    <w:p w14:paraId="04482029" w14:textId="17089608" w:rsidR="00B07B4D" w:rsidRDefault="00B07B4D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szamponów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5-6)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oświadczyła,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błędu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etykietowania,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braki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Hebe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etykiet.</w:t>
      </w:r>
    </w:p>
    <w:p w14:paraId="1EE9A533" w14:textId="079733FC" w:rsidR="00E866C8" w:rsidRDefault="00681ED3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E783A7" w14:textId="039D2961" w:rsidR="00F52D1A" w:rsidRPr="0047065B" w:rsidRDefault="00F52D1A" w:rsidP="00203142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eniami,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FB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476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47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3142" w:rsidRP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ybie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ED3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B25CAF" w14:textId="018E8DA4" w:rsidR="00F52D1A" w:rsidRPr="0047065B" w:rsidRDefault="00F52D1A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poinformowano,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wymierzając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brał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189d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661FCE20" w14:textId="78F4D2D0" w:rsidR="008F62DA" w:rsidRDefault="005D6FEE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0A5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15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0A5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0A5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5B2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5B2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0A5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0A5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8124B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4B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4B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4B4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E24929" w14:textId="3B6E2FCE" w:rsidR="008F62DA" w:rsidRPr="008F62DA" w:rsidRDefault="008F62DA" w:rsidP="00203142">
      <w:pPr>
        <w:pStyle w:val="Akapitzlist"/>
        <w:numPr>
          <w:ilvl w:val="0"/>
          <w:numId w:val="36"/>
        </w:num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1-2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30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306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30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838C81E" w14:textId="0C7447AB" w:rsidR="008F62DA" w:rsidRDefault="00BD5306" w:rsidP="00203142">
      <w:pPr>
        <w:pStyle w:val="Akapitzlist"/>
        <w:numPr>
          <w:ilvl w:val="0"/>
          <w:numId w:val="36"/>
        </w:num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3-6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[xxx] 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czego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doklejonymi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poprawionymi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DD7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etykietami.</w:t>
      </w:r>
    </w:p>
    <w:p w14:paraId="1D5E9FA2" w14:textId="165BF7F6" w:rsidR="008F62DA" w:rsidRDefault="008D4DD7" w:rsidP="00203142">
      <w:pPr>
        <w:pStyle w:val="Akapitzlist"/>
        <w:numPr>
          <w:ilvl w:val="0"/>
          <w:numId w:val="36"/>
        </w:num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911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prod</w:t>
      </w:r>
      <w:r w:rsidR="0074186B">
        <w:rPr>
          <w:rFonts w:ascii="Times New Roman" w:eastAsia="Times New Roman" w:hAnsi="Times New Roman" w:cs="Times New Roman"/>
          <w:sz w:val="24"/>
          <w:szCs w:val="24"/>
          <w:lang w:eastAsia="pl-PL"/>
        </w:rPr>
        <w:t>uktu,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86B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86B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86B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86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86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911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HPN/000877-01/20232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Stacji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Sanitarno-Epidemiologicznej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911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Nawilżający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balsam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ciał</w:t>
      </w:r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911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masłem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Plamer’s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D0C">
        <w:rPr>
          <w:rFonts w:ascii="Times New Roman" w:eastAsia="Times New Roman" w:hAnsi="Times New Roman" w:cs="Times New Roman"/>
          <w:sz w:val="24"/>
          <w:szCs w:val="24"/>
          <w:lang w:eastAsia="pl-PL"/>
        </w:rPr>
        <w:t>7).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cech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</w:t>
      </w:r>
      <w:r w:rsidR="00911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balsamie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wobec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czego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4C8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4937A0" w14:textId="17CDEEB3" w:rsidR="008F62DA" w:rsidRDefault="00357179" w:rsidP="00203142">
      <w:pPr>
        <w:pStyle w:val="Akapitzlist"/>
        <w:numPr>
          <w:ilvl w:val="0"/>
          <w:numId w:val="36"/>
        </w:num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2DA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Honeyfull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nasil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[elastyczność/odżywianie]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prawnymi.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naklejką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11E">
        <w:rPr>
          <w:rFonts w:ascii="Times New Roman" w:eastAsia="Times New Roman" w:hAnsi="Times New Roman" w:cs="Times New Roman"/>
          <w:sz w:val="24"/>
          <w:szCs w:val="24"/>
          <w:lang w:eastAsia="pl-PL"/>
        </w:rPr>
        <w:t>daty.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5D805C" w14:textId="13FBF0B2" w:rsidR="003E111E" w:rsidRDefault="003E111E" w:rsidP="00203142">
      <w:pPr>
        <w:tabs>
          <w:tab w:val="left" w:pos="6804"/>
        </w:tabs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  <w:r w:rsidR="009119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35913F" w14:textId="555A4E94" w:rsidR="00D02743" w:rsidRPr="003E111E" w:rsidRDefault="00D02743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niezałatwieniu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B54717" w14:textId="22809C0C" w:rsidR="00F52D1A" w:rsidRPr="00750F8F" w:rsidRDefault="00F52D1A" w:rsidP="00203142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7B74F88C" w14:textId="00D21F96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</w:t>
      </w:r>
      <w:r w:rsidR="00172DD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DD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kosmetycznych).</w:t>
      </w:r>
    </w:p>
    <w:p w14:paraId="516FFFBB" w14:textId="30ECE293" w:rsidR="00F52D1A" w:rsidRPr="00750F8F" w:rsidRDefault="00F52D1A" w:rsidP="00203142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Nadto,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0B27FED" w14:textId="50B6A3C9" w:rsidR="00F52D1A" w:rsidRPr="00750F8F" w:rsidRDefault="00F52D1A" w:rsidP="00203142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AC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AC4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</w:t>
      </w:r>
      <w:r w:rsidR="0029718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18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</w:t>
      </w:r>
      <w:r w:rsidR="0029718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0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(woj.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B13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6AE27C83" w14:textId="2874A766" w:rsidR="00F52D1A" w:rsidRPr="00750F8F" w:rsidRDefault="00F52D1A" w:rsidP="00203142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13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mieszaninę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ciała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ludzkiego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(naskórkiem,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owłosieniem,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paznokciami,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wargami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narządami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płciowymi)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zębami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błonami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śluzowymi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jamy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perfumowanie,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kondycji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korygowanie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zapachu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ciała.</w:t>
      </w:r>
    </w:p>
    <w:p w14:paraId="3E2BEE2C" w14:textId="15052338" w:rsidR="0029718B" w:rsidRPr="00750F8F" w:rsidRDefault="0029718B" w:rsidP="00B1335D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"udostępnianie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rynku"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konsumpcji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DCFB07E" w14:textId="58B6D90A" w:rsidR="00F52D1A" w:rsidRPr="00750F8F" w:rsidRDefault="00F52D1A" w:rsidP="00B1335D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wykorzystującą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zawodowej.</w:t>
      </w:r>
    </w:p>
    <w:p w14:paraId="2491A432" w14:textId="3E22B7E6" w:rsidR="00F52D1A" w:rsidRPr="00750F8F" w:rsidRDefault="00F52D1A" w:rsidP="00B1335D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h).</w:t>
      </w:r>
    </w:p>
    <w:p w14:paraId="0254E9E9" w14:textId="047B30B1" w:rsidR="00F52D1A" w:rsidRPr="00750F8F" w:rsidRDefault="00F52D1A" w:rsidP="00B1335D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"osoba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odpowiedzialna",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fizyczną.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importowanego,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9E37A9" w14:textId="16C495DE" w:rsidR="00F52D1A" w:rsidRPr="0047065B" w:rsidRDefault="00F52D1A" w:rsidP="00B1335D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tegoż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rozporządzenia.</w:t>
      </w:r>
    </w:p>
    <w:p w14:paraId="301ADED3" w14:textId="4CFD8618" w:rsidR="00540972" w:rsidRPr="0047065B" w:rsidRDefault="00F52D1A" w:rsidP="00B1335D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431D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ontrolowany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1D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przedsiębiorca: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Jeronimo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4E7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Kostrzyn</w:t>
      </w:r>
      <w:r w:rsidR="0025204C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kwestionow</w:t>
      </w:r>
      <w:r w:rsidR="00023E5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E5E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57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6722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9457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2AADD5" w14:textId="77777777" w:rsidR="00555C1E" w:rsidRDefault="00F52D1A" w:rsidP="00555C1E">
      <w:pPr>
        <w:pStyle w:val="Akapitzlist"/>
        <w:numPr>
          <w:ilvl w:val="0"/>
          <w:numId w:val="41"/>
        </w:numPr>
        <w:tabs>
          <w:tab w:val="left" w:pos="708"/>
          <w:tab w:val="num" w:pos="3720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uszczerbku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nieusuwalne,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łatwe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odczytania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1E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data,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swoje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08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3C61E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3D3F2C" w14:textId="77777777" w:rsidR="00555C1E" w:rsidRDefault="008A0089" w:rsidP="00555C1E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chyba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2B8C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7BEDA3" w14:textId="77777777" w:rsidR="00555C1E" w:rsidRDefault="00530071" w:rsidP="00555C1E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lit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III-VI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profesjonalnego.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02902B" w14:textId="04619193" w:rsidR="00555C1E" w:rsidRDefault="00781AB7" w:rsidP="00555C1E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swoje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umiejscowieniu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symbol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(„klepsydra”)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„najlepiej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końcem”.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rok,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tej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721A24" w14:textId="77777777" w:rsidR="00555C1E" w:rsidRPr="0047065B" w:rsidRDefault="00522F07" w:rsidP="00555C1E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członkowskiego,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użytkownikowi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końcowemu.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84BECD" w14:textId="44F920F4" w:rsidR="00522F07" w:rsidRPr="0047065B" w:rsidRDefault="00522F07" w:rsidP="00555C1E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znakuje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443E36" w14:textId="326CDCA4" w:rsidR="00530071" w:rsidRDefault="007D2B8C" w:rsidP="00203142">
      <w:pPr>
        <w:pStyle w:val="Akapitzlist"/>
        <w:numPr>
          <w:ilvl w:val="0"/>
          <w:numId w:val="45"/>
        </w:num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3-6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odnieść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E5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15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133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powtórzonego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poczytuje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09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21C70F" w14:textId="1CE570C8" w:rsidR="00530071" w:rsidRDefault="00857E09" w:rsidP="00203142">
      <w:pPr>
        <w:pStyle w:val="Akapitzlist"/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Pominięcie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szamponów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5-6)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budzi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sensie,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doszło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522F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F07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F0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F0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90B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522F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skutek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niezamierzonego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522F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3174C2"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961E8" w14:textId="74FBE702" w:rsidR="007F590A" w:rsidRDefault="003174C2" w:rsidP="00203142">
      <w:pPr>
        <w:pStyle w:val="Akapitzlist"/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makijażu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3-4)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klienci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zidentyfikowaniem.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kosmetycznego”.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podziela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jakoby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D9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mnogość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FC5">
        <w:rPr>
          <w:rFonts w:ascii="Times New Roman" w:eastAsia="Times New Roman" w:hAnsi="Times New Roman" w:cs="Times New Roman"/>
          <w:sz w:val="24"/>
          <w:szCs w:val="24"/>
          <w:lang w:eastAsia="pl-PL"/>
        </w:rPr>
        <w:t>żeby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intuicyjnie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siebie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samego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koloru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odcieniu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puder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niezasadne.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niezasadne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jaki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dedykowany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typu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argumentację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należałoby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zrezygnować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wymogu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posługujący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intuicją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wiedzą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sam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63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266E34" w14:textId="7A872F24" w:rsidR="00522F07" w:rsidRDefault="00F33590" w:rsidP="00203142">
      <w:pPr>
        <w:pStyle w:val="Akapitzlist"/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ywista,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to,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zdawał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uwidocznienia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czego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0F48B42" w14:textId="2F429673" w:rsidR="00530071" w:rsidRDefault="00530071" w:rsidP="00203142">
      <w:pPr>
        <w:pStyle w:val="Akapitzlist"/>
        <w:numPr>
          <w:ilvl w:val="0"/>
          <w:numId w:val="45"/>
        </w:num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Nawilżający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balsam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ciała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masłem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Plamer’s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300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AB7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typu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D0C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BE38DD" w14:textId="77777777" w:rsidR="00555C1E" w:rsidRDefault="00A96D0C" w:rsidP="00555C1E">
      <w:pPr>
        <w:pStyle w:val="Akapitzlist"/>
        <w:numPr>
          <w:ilvl w:val="0"/>
          <w:numId w:val="45"/>
        </w:num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Honeyfull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nasil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[elastyczność/odżywianie]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„najlepiej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zużyć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końcem”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00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8C452A" w14:textId="7AC4DF59" w:rsidR="00226819" w:rsidRPr="00555C1E" w:rsidRDefault="009831DB" w:rsidP="00555C1E">
      <w:pPr>
        <w:tabs>
          <w:tab w:val="left" w:pos="708"/>
        </w:tabs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odpowiadały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wymaganiom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</w:t>
      </w:r>
      <w:r w:rsidR="002D5D7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lonym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D72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A2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7E59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E53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64D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64D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64D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04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A76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2464D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64D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514C549" w14:textId="77777777" w:rsidR="00A2464D" w:rsidRDefault="00A2464D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47EB8" w14:textId="77777777" w:rsidR="00555C1E" w:rsidRDefault="00A2464D" w:rsidP="00555C1E">
      <w:pPr>
        <w:pStyle w:val="Akapitzlist"/>
        <w:numPr>
          <w:ilvl w:val="0"/>
          <w:numId w:val="48"/>
        </w:numPr>
        <w:tabs>
          <w:tab w:val="left" w:pos="708"/>
          <w:tab w:val="num" w:pos="3720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uszczerbku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nieusuwalne,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łatwe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poprzedzony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ingredients</w:t>
      </w:r>
      <w:proofErr w:type="spellEnd"/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196E418" w14:textId="77777777" w:rsidR="00555C1E" w:rsidRDefault="00A2464D" w:rsidP="00555C1E">
      <w:pPr>
        <w:pStyle w:val="Akapitzlist"/>
        <w:tabs>
          <w:tab w:val="left" w:pos="708"/>
          <w:tab w:val="num" w:pos="3720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zasady: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doczepionej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ulotce,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taśmie,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metce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wspomnianych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skróconej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(symbol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odesłanie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informacji).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3E75D0" w14:textId="77777777" w:rsidR="00555C1E" w:rsidRDefault="00A2464D" w:rsidP="00555C1E">
      <w:pPr>
        <w:pStyle w:val="Akapitzlist"/>
        <w:tabs>
          <w:tab w:val="left" w:pos="708"/>
          <w:tab w:val="num" w:pos="3720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mydła,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kulek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kąpieli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innych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małych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kosmetycznych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metce,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taśmie,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ulotce,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bezpośredniej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bliskości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31E7FD" w14:textId="77777777" w:rsidR="00555C1E" w:rsidRDefault="00A2464D" w:rsidP="00555C1E">
      <w:pPr>
        <w:pStyle w:val="Akapitzlist"/>
        <w:tabs>
          <w:tab w:val="left" w:pos="708"/>
          <w:tab w:val="num" w:pos="3720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3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modelująca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Coconut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Palette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1643"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643"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D16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Róż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policzków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RD3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Glamour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1643"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odklejeniu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symbol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„książki”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odesłanie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3C198D" w14:textId="4936ED14" w:rsidR="00A2464D" w:rsidRDefault="00A2464D" w:rsidP="00555C1E">
      <w:pPr>
        <w:pStyle w:val="Akapitzlist"/>
        <w:tabs>
          <w:tab w:val="left" w:pos="708"/>
          <w:tab w:val="num" w:pos="3720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wymaganiom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6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14D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</w:p>
    <w:p w14:paraId="5D2D65D1" w14:textId="77777777" w:rsidR="00CB61E1" w:rsidRDefault="00CB61E1" w:rsidP="00203142">
      <w:pPr>
        <w:tabs>
          <w:tab w:val="left" w:pos="708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696FA" w14:textId="6DC50B37" w:rsidR="00CB61E1" w:rsidRPr="00555C1E" w:rsidRDefault="00CB61E1" w:rsidP="00CB61E1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naruszeń wskazanych wyżej w punktach </w:t>
      </w:r>
      <w:r w:rsidRPr="00555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555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 należy na treść</w:t>
      </w:r>
      <w:r w:rsidR="00555C1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36 ust. 1 ustawy o produktach kosmetycznych. Zgodnie z nim kto wprowadza do obrotu lub udostępnia na rynku produkt kosmetyczny bez spełnienia wymogów w zakresie oznakowania, o których mowa w art. 19 ust. 1-3, 5 i 6 rozporządzenia nr 1223/2009, podlega karze pieniężnej w wysokości do 70 000 zł.</w:t>
      </w:r>
    </w:p>
    <w:p w14:paraId="35AD215F" w14:textId="13A6BAEB" w:rsidR="00A2464D" w:rsidRPr="00555C1E" w:rsidRDefault="00A2464D" w:rsidP="00CB61E1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Rozpatrując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C1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</w:t>
      </w:r>
      <w:r w:rsidR="00555C1E" w:rsidRPr="00555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555C1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555C1E" w:rsidRPr="00555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555C1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nieodpowiadających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wymaganiom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wyczerpane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znamiona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czynu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obliguje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kary.</w:t>
      </w:r>
    </w:p>
    <w:p w14:paraId="0A96E971" w14:textId="0444B138" w:rsidR="00A2464D" w:rsidRPr="00555C1E" w:rsidRDefault="00A2464D" w:rsidP="00CB61E1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C1E" w:rsidRPr="0055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3000</w:t>
      </w:r>
      <w:r w:rsidR="00B8036B" w:rsidRPr="0055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zasadna.</w:t>
      </w:r>
    </w:p>
    <w:p w14:paraId="02A22FBF" w14:textId="77777777" w:rsidR="00555C1E" w:rsidRDefault="00555C1E" w:rsidP="00CB61E1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14:paraId="5AE0C0C5" w14:textId="2D1CDF4C" w:rsidR="00555C1E" w:rsidRPr="0047065B" w:rsidRDefault="00CD1643" w:rsidP="0047065B">
      <w:pPr>
        <w:pStyle w:val="Akapitzlist"/>
        <w:numPr>
          <w:ilvl w:val="0"/>
          <w:numId w:val="48"/>
        </w:numPr>
        <w:tabs>
          <w:tab w:val="left" w:pos="708"/>
        </w:tabs>
        <w:spacing w:after="6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reklamowania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tekst,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nazwy,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znaki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towarowe,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obrazy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znaki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tak,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przypisywać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produktom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BE4990" w14:textId="00FF3D56" w:rsidR="00CD1643" w:rsidRPr="00750F8F" w:rsidRDefault="00CD1643" w:rsidP="00555C1E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swojej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starannością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wyrobu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powody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sądzić,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że:</w:t>
      </w:r>
    </w:p>
    <w:p w14:paraId="0318F70D" w14:textId="5B06CAEF" w:rsidR="00CD1643" w:rsidRPr="00750F8F" w:rsidRDefault="00CD1643" w:rsidP="00203142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dopóki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wymogów,</w:t>
      </w:r>
    </w:p>
    <w:p w14:paraId="490ACFDF" w14:textId="77777777" w:rsidR="00555C1E" w:rsidRDefault="00CD1643" w:rsidP="00203142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dostosowania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potrzeby.</w:t>
      </w:r>
    </w:p>
    <w:p w14:paraId="4355C3D0" w14:textId="1072CD1C" w:rsidR="00CD1643" w:rsidRPr="00555C1E" w:rsidRDefault="00CD1643" w:rsidP="00555C1E">
      <w:pPr>
        <w:tabs>
          <w:tab w:val="left" w:pos="708"/>
          <w:tab w:val="num" w:pos="3720"/>
        </w:tabs>
        <w:spacing w:after="6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myśl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„dystrybutora”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łańcuchu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producentem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importerem,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„udostępnianie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rynku”,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konsumpcji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2.2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2013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produktami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kosmetycznymi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UE.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2013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190,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31)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C1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555C1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składnikach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konkretnego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same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właściwości,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prawdą.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  <w:r w:rsidR="00B8036B" w:rsidRP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ekstrakt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owsa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łagodzi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i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koi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3E35AE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podraż</w:t>
      </w:r>
      <w:r w:rsidR="00924EE8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nienia.</w:t>
      </w:r>
      <w:r w:rsidR="00B8036B" w:rsidRPr="00555C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</w:p>
    <w:p w14:paraId="4C45D4E9" w14:textId="1DB57BFD" w:rsidR="00CD1643" w:rsidRPr="00750F8F" w:rsidRDefault="00CD1643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konsumentowi,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(oświadczenia)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jasne.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tekstów,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obrazów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itp.)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zaletach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właściwościach,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kosmetyku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definicji.</w:t>
      </w:r>
    </w:p>
    <w:p w14:paraId="2E05BA06" w14:textId="14867EBA" w:rsidR="00CD1643" w:rsidRPr="00750F8F" w:rsidRDefault="00CD1643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bowiem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farmaceutyczne</w:t>
      </w:r>
      <w:r w:rsidR="00555C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2301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E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24E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924E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EE8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mieszanina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chorób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fizjologicznych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organizmu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farmakologiczne,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immunologiczne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metaboliczne.</w:t>
      </w:r>
    </w:p>
    <w:p w14:paraId="2CBE47AE" w14:textId="737592BB" w:rsidR="00CD1643" w:rsidRDefault="00CD1643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zadeklarowane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1223/2009.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prawdą.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7A3DF5" w14:textId="482ACCDC" w:rsidR="00924EE8" w:rsidRDefault="00924EE8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Avena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Sativa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proofErr w:type="spellStart"/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Oat</w:t>
      </w:r>
      <w:proofErr w:type="spellEnd"/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Meal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D603F4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Extract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ekstrakt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owsa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znany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łagodzących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kojących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(zalecany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skór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wrażliwych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skłonnych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03F4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dermatoz).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BE99FA" w14:textId="41247FD1" w:rsidR="00D603F4" w:rsidRDefault="00D603F4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podparte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odpowiednimi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sprawdzalnymi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dowodami,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ekspertów.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0063CD" w14:textId="62F6B05F" w:rsidR="00550204" w:rsidRDefault="00D603F4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importera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niepodparte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jakimikolwiek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dowodami,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00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„znany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łagodzących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kojących”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sprawdzalnego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typu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oświadczenia.</w:t>
      </w:r>
    </w:p>
    <w:p w14:paraId="12585EBA" w14:textId="1E8A68B6" w:rsidR="00F5043B" w:rsidRPr="00750F8F" w:rsidRDefault="00550204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4F46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HPN/000877-01/20232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istocie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cech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toku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żadnych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jakichkolwiek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potwierdzałyby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Avena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Sativa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proofErr w:type="spellStart"/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Oat</w:t>
      </w:r>
      <w:proofErr w:type="spellEnd"/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Meal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F5043B" w:rsidRPr="00D60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Extract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ekstrakt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owsa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znany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łagodzących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 w:rsidRPr="00D603F4">
        <w:rPr>
          <w:rFonts w:ascii="Times New Roman" w:eastAsia="Times New Roman" w:hAnsi="Times New Roman" w:cs="Times New Roman"/>
          <w:sz w:val="24"/>
          <w:szCs w:val="24"/>
          <w:lang w:eastAsia="pl-PL"/>
        </w:rPr>
        <w:t>kojących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żaden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wspomnianego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już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655/2013.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pominięto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braku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43B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uwidoczniony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BC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D0AD56" w14:textId="2CDE4A2E" w:rsidR="00CD1643" w:rsidRPr="0047065B" w:rsidRDefault="00CD1643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4F465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Nawilżający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balsam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ciała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masłem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shea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Plamer’s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400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ml,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EE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cech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produktu.</w:t>
      </w:r>
    </w:p>
    <w:p w14:paraId="2E0A065B" w14:textId="66D09442" w:rsidR="00555C1E" w:rsidRPr="0047065B" w:rsidRDefault="00555C1E" w:rsidP="004F4659">
      <w:pPr>
        <w:tabs>
          <w:tab w:val="left" w:pos="708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37 ustawy o produktach kosmetycznych kto udostępnia na rynku produkt kosmetyczny bez spełnienia wymogów związanych z oświadczeniami o produkcie,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art. 20 ust. 1 lub 3 rozporządzenia nr 1223/2009, podlega karze pieniężnej w wysokości do 20 000 zł.</w:t>
      </w:r>
    </w:p>
    <w:p w14:paraId="044DEAF3" w14:textId="31AA5712" w:rsidR="00CD1643" w:rsidRPr="0047065B" w:rsidRDefault="00CD1643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udostępniającemu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99" w:rsidRPr="00470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1000</w:t>
      </w:r>
      <w:r w:rsidR="00B8036B" w:rsidRPr="00470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47AEDD" w14:textId="35796AA1" w:rsidR="00F52D1A" w:rsidRDefault="00F52D1A" w:rsidP="00203142">
      <w:pPr>
        <w:tabs>
          <w:tab w:val="left" w:pos="708"/>
          <w:tab w:val="num" w:pos="3720"/>
        </w:tabs>
        <w:spacing w:before="24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Handlowej,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4F4659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</w:t>
      </w:r>
      <w:r w:rsidR="00DD4E1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1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1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24E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F5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A85D51" w14:textId="77777777" w:rsidR="004F4659" w:rsidRDefault="004F4659" w:rsidP="00203142">
      <w:pPr>
        <w:tabs>
          <w:tab w:val="left" w:pos="708"/>
          <w:tab w:val="num" w:pos="3720"/>
        </w:tabs>
        <w:spacing w:before="24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E2021" w14:textId="77777777" w:rsidR="002F6BD4" w:rsidRPr="00750F8F" w:rsidRDefault="002F6BD4" w:rsidP="00203142">
      <w:pPr>
        <w:tabs>
          <w:tab w:val="left" w:pos="708"/>
          <w:tab w:val="num" w:pos="3720"/>
        </w:tabs>
        <w:spacing w:before="24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C1073" w14:textId="2A5B398C" w:rsidR="00F52D1A" w:rsidRPr="00750F8F" w:rsidRDefault="00F52D1A" w:rsidP="00203142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Dyrektywy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uwagę:</w:t>
      </w:r>
    </w:p>
    <w:p w14:paraId="25E00683" w14:textId="5CD5B755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wagę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wyjątkowo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naruszenia;</w:t>
      </w:r>
    </w:p>
    <w:p w14:paraId="1E669773" w14:textId="2ED94512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kara;</w:t>
      </w:r>
    </w:p>
    <w:p w14:paraId="60CCD1AB" w14:textId="360407C6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skarbowe;</w:t>
      </w:r>
    </w:p>
    <w:p w14:paraId="2C94847C" w14:textId="38586049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prawa;</w:t>
      </w:r>
    </w:p>
    <w:p w14:paraId="58AB4A15" w14:textId="4D3D797D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uniknięcia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skutków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prawa;</w:t>
      </w:r>
    </w:p>
    <w:p w14:paraId="3E45FAF2" w14:textId="1C98294D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osiągnęła,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uniknęła;</w:t>
      </w:r>
    </w:p>
    <w:p w14:paraId="1DB8DE4C" w14:textId="4742C0FE" w:rsidR="00F52D1A" w:rsidRPr="00750F8F" w:rsidRDefault="00F52D1A" w:rsidP="00203142">
      <w:pPr>
        <w:numPr>
          <w:ilvl w:val="0"/>
          <w:numId w:val="12"/>
        </w:numPr>
        <w:tabs>
          <w:tab w:val="left" w:pos="6804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nakładana.</w:t>
      </w:r>
    </w:p>
    <w:p w14:paraId="5834CEEB" w14:textId="472C9D31" w:rsidR="00F52D1A" w:rsidRPr="00750F8F" w:rsidRDefault="00F52D1A" w:rsidP="00203142">
      <w:p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poprzez:</w:t>
      </w:r>
    </w:p>
    <w:p w14:paraId="7CF2E7E2" w14:textId="36FD64ED" w:rsidR="00F52D1A" w:rsidRPr="00750F8F" w:rsidRDefault="00F52D1A" w:rsidP="00203142">
      <w:pPr>
        <w:numPr>
          <w:ilvl w:val="0"/>
          <w:numId w:val="13"/>
        </w:numPr>
        <w:tabs>
          <w:tab w:val="left" w:pos="708"/>
          <w:tab w:val="num" w:pos="3720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wagi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okoliczności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prawa,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szczególności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potrzeby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życia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zdrowia,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mienia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znacznych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rozmiarach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ważnego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interesu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publicznego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wyjątkowo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ważnego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interesu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czas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trwania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7DE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D2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D2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F49487" w14:textId="18249396" w:rsidR="00106271" w:rsidRDefault="00F52D1A" w:rsidP="00203142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</w:t>
      </w:r>
      <w:r w:rsidR="003A350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>
        <w:rPr>
          <w:rFonts w:ascii="Times New Roman" w:eastAsia="Times New Roman" w:hAnsi="Times New Roman" w:cs="Times New Roman"/>
          <w:sz w:val="24"/>
          <w:szCs w:val="24"/>
          <w:lang w:eastAsia="pl-PL"/>
        </w:rPr>
        <w:t>czego: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DABBFA" w14:textId="3F68EDC1" w:rsidR="00EA15D1" w:rsidRDefault="00EA15D1" w:rsidP="00203142">
      <w:pPr>
        <w:pStyle w:val="Akapitzlist"/>
        <w:numPr>
          <w:ilvl w:val="0"/>
          <w:numId w:val="49"/>
        </w:num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3-6)</w:t>
      </w:r>
      <w:r w:rsidR="00106271"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EA15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B0F448" w14:textId="5A7AAE58" w:rsidR="00EA15D1" w:rsidRDefault="00EA15D1" w:rsidP="00203142">
      <w:pPr>
        <w:pStyle w:val="Akapitzlist"/>
        <w:numPr>
          <w:ilvl w:val="0"/>
          <w:numId w:val="49"/>
        </w:num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1-2);</w:t>
      </w:r>
    </w:p>
    <w:p w14:paraId="6ACDC005" w14:textId="768756B6" w:rsidR="00EA15D1" w:rsidRPr="00EA15D1" w:rsidRDefault="00EA15D1" w:rsidP="00203142">
      <w:pPr>
        <w:pStyle w:val="Akapitzlist"/>
        <w:numPr>
          <w:ilvl w:val="0"/>
          <w:numId w:val="49"/>
        </w:num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7).</w:t>
      </w:r>
    </w:p>
    <w:p w14:paraId="38AB4931" w14:textId="4CB82031" w:rsidR="00D327AB" w:rsidRDefault="00D327AB" w:rsidP="00203142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kosmetycznego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niezrozumiałe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grup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chcąc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osiągnąć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efekt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2F6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funkcją,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mieli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takiej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tej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zrozumiałym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27A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DA21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sprawić,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BD4">
        <w:rPr>
          <w:rFonts w:ascii="Times New Roman" w:eastAsia="Times New Roman" w:hAnsi="Times New Roman" w:cs="Times New Roman"/>
          <w:sz w:val="24"/>
          <w:szCs w:val="24"/>
          <w:lang w:eastAsia="pl-PL"/>
        </w:rPr>
        <w:t>danej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przyzwyczajenia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datę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rok,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najbardziej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EE7D1E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logiczny.</w:t>
      </w:r>
    </w:p>
    <w:p w14:paraId="78A3B745" w14:textId="086B727D" w:rsidR="002B28AB" w:rsidRPr="00750F8F" w:rsidRDefault="004961AC" w:rsidP="00203142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</w:t>
      </w:r>
      <w:r w:rsidR="00CA676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76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76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pozbawia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9C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nietolerując</w:t>
      </w:r>
      <w:r w:rsidR="00DB1F32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jakichś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17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753AF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F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F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DD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98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nim.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B2AFBE" w14:textId="0B5D732C" w:rsidR="001B0305" w:rsidRPr="0047065B" w:rsidRDefault="007E7548" w:rsidP="00203142">
      <w:pPr>
        <w:tabs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D20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mogły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decydować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cenie,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5D1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poprzez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zastosowanie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zapisów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sugerujących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62DC7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określone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62DC7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działanie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62DC7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62DC7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działanie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lecznicze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zachęcał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jego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zakupu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używania,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pomimo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takich</w:t>
      </w:r>
      <w:r w:rsidR="00B8036B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właściwości.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Naruszało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67D3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B0305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C9C857" w14:textId="4B2ACB27" w:rsidR="007E7548" w:rsidRPr="0047065B" w:rsidRDefault="00C320BF" w:rsidP="00203142">
      <w:pPr>
        <w:pStyle w:val="Akapitzlist"/>
        <w:tabs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oferowania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duktów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oznakowanych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</w:t>
      </w:r>
      <w:r w:rsidR="00CE23C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niedozwolon</w:t>
      </w:r>
      <w:r w:rsidR="00CE23C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</w:t>
      </w:r>
      <w:r w:rsidR="00CE23C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marketingow</w:t>
      </w:r>
      <w:r w:rsidR="00CE23CA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87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próbowano określić </w:t>
      </w:r>
      <w:r w:rsidR="00DA21D1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1D1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89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zgromadzonych w aktach sprawy </w:t>
      </w:r>
      <w:r w:rsidR="00DA21D1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="00761897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</w:t>
      </w:r>
      <w:r w:rsidR="007E7548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90FA7A" w14:textId="0000B650" w:rsidR="004700CE" w:rsidRPr="0047065B" w:rsidRDefault="00DA21D1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Paleta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modelująca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Coconut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Palette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00CE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23E4D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320BF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E5D358" w14:textId="4E0C6832" w:rsidR="004700CE" w:rsidRPr="0047065B" w:rsidRDefault="00523E4D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Róż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policzków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RD3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Glamour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Pr="004706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F695B4" w14:textId="1F39D08D" w:rsidR="004700CE" w:rsidRDefault="00523E4D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Super-</w:t>
      </w:r>
      <w:proofErr w:type="spellStart"/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blendable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foundation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True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match</w:t>
      </w:r>
      <w:proofErr w:type="spellEnd"/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L’Oréal</w:t>
      </w:r>
      <w:r w:rsidR="00B8036B" w:rsidRPr="00470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00CE" w:rsidRP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0B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CC4F92" w14:textId="655CAF02" w:rsidR="00A87C26" w:rsidRDefault="00523E4D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Foundation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powder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Infaillible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24H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freshwear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vanilia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L’Oréal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74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815C7A" w14:textId="690321BB" w:rsidR="00A87C26" w:rsidRDefault="00523E4D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Shampooing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anti-dessèchment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Nutri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Extréme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Dessange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17ADD5" w14:textId="5BD0D691" w:rsidR="00A87C26" w:rsidRDefault="00523E4D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Shampooing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nutrii-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illuminat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Blond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Californien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Dessange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Paris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C2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86E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B68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4AB447" w14:textId="5F292992" w:rsidR="003B686E" w:rsidRDefault="003B686E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Nawilżający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balsam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ciała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masłem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shea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Plamer’s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400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E1D884" w14:textId="298FFFCA" w:rsidR="003B686E" w:rsidRDefault="003B686E" w:rsidP="00203142">
      <w:pPr>
        <w:pStyle w:val="Akapitzlist"/>
        <w:numPr>
          <w:ilvl w:val="0"/>
          <w:numId w:val="29"/>
        </w:numPr>
        <w:tabs>
          <w:tab w:val="left" w:pos="6804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the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Honeyfull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nasil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mask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[elastyczność/odżywianie]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Skin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79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774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ml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B686E">
        <w:rPr>
          <w:rFonts w:ascii="Times New Roman" w:eastAsia="Times New Roman" w:hAnsi="Times New Roman" w:cs="Times New Roman"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686E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E2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3F193E" w14:textId="5624FFB2" w:rsidR="00761897" w:rsidRPr="00761897" w:rsidRDefault="00CE23CA" w:rsidP="00761897">
      <w:pPr>
        <w:tabs>
          <w:tab w:val="left" w:pos="6804"/>
        </w:tabs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załącznika nr 4 do protokołu kontroli wskazującego </w:t>
      </w:r>
      <w:r w:rsidR="006E6878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E6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 wymienionych produktów do strony postępowania. 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61897" w:rsidRP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posiadanych informacji nie było możliwe ustalenie 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konkretnego </w:t>
      </w:r>
      <w:r w:rsidR="00761897" w:rsidRP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trwania powyższych naruszeń.</w:t>
      </w:r>
    </w:p>
    <w:p w14:paraId="559D273E" w14:textId="3277A1CA" w:rsidR="00F52D1A" w:rsidRPr="00750F8F" w:rsidRDefault="00F52D1A" w:rsidP="00203142">
      <w:pPr>
        <w:numPr>
          <w:ilvl w:val="0"/>
          <w:numId w:val="13"/>
        </w:numPr>
        <w:tabs>
          <w:tab w:val="left" w:pos="6804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częstotliwości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niedopełniania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przeszłości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naruszania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zakazu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samego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rodzaju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niedopełnienie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obowiązku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zakazu,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następstwie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którego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nałożona</w:t>
      </w:r>
      <w:r w:rsidR="00B80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761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1118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 to miejsce w październiku 2020 r. w sprawie DP.8361.117.2020. W sprawie wydano decyzję o tej samej sygnaturze.</w:t>
      </w:r>
    </w:p>
    <w:p w14:paraId="6E07CC33" w14:textId="54DF8474" w:rsidR="00C11183" w:rsidRPr="00C11183" w:rsidRDefault="00F52D1A" w:rsidP="00203142">
      <w:pPr>
        <w:numPr>
          <w:ilvl w:val="0"/>
          <w:numId w:val="13"/>
        </w:numPr>
        <w:tabs>
          <w:tab w:val="left" w:pos="6804"/>
        </w:tabs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uprzedniego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ukarania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zachowanie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przestępstwo,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przestępstwo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skarbowe,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skarbowe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stwierdzone w trakcie kontroli DP.8361.89.2023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1F32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informacjami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dotyczącymi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761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6758FFB" w14:textId="2CB54C1E" w:rsidR="00946409" w:rsidRPr="00750F8F" w:rsidRDefault="00F52D1A" w:rsidP="00203142">
      <w:pPr>
        <w:numPr>
          <w:ilvl w:val="0"/>
          <w:numId w:val="13"/>
        </w:numPr>
        <w:tabs>
          <w:tab w:val="left" w:pos="6804"/>
        </w:tabs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stopień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przyczynienia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strony,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nakładana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administracyjna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pieniężna,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powstania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prawa</w:t>
      </w:r>
      <w:r w:rsidRPr="00750F8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skazano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wcześniej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1223/2009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19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których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pojemnikach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opakowaniach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zewnętrznych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nieusuwalne,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łatwe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odczytania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składników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kosmetycznego,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ostrożności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minimalnej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trwałości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brzmieniem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28AB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obrotu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wymogów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8F7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1-3,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znajdowały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spełniające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cytowanego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udostępniający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</w:t>
      </w:r>
      <w:r w:rsidR="00946409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zypadku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6409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6409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więc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Kostrzyn</w:t>
      </w:r>
      <w:r w:rsidR="00BC4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6BB0E4" w14:textId="6A829415" w:rsidR="00B7245F" w:rsidRPr="00750F8F" w:rsidRDefault="00F52D1A" w:rsidP="00203142">
      <w:pPr>
        <w:tabs>
          <w:tab w:val="left" w:pos="6804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Podobnie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skutkującego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wcześniej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etykiecie,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reklamowania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nazwy,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towarowe,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obrazy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używane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przypisywać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produktom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ustawy,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wymogów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związanych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oświadczeniami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produkcie,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znajdowały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spełniające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cytowanego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udostępniający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0EDD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C2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więc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Jeronimo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Martins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Drogerie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odpowiedzialnością,</w:t>
      </w:r>
      <w:r w:rsidR="00C111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4E7" w:rsidRPr="001D06DB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Kostrzyn</w:t>
      </w:r>
      <w:r w:rsidR="00F25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03F55B" w14:textId="126645AC" w:rsidR="00F52D1A" w:rsidRPr="00750F8F" w:rsidRDefault="00F52D1A" w:rsidP="00203142">
      <w:pPr>
        <w:tabs>
          <w:tab w:val="left" w:pos="6804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decydował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chce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powinien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dołożyć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starań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przeprowadzić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selekcję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niezgodne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przepisami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znalazły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pragnie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zauważyć,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profilem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oferującego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kosmetyków,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dochować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należytego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udostępnieniem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rynku;</w:t>
      </w:r>
    </w:p>
    <w:p w14:paraId="12E88E16" w14:textId="5F51FC84" w:rsidR="00F52D1A" w:rsidRPr="00750F8F" w:rsidRDefault="00F52D1A" w:rsidP="00203142">
      <w:pPr>
        <w:numPr>
          <w:ilvl w:val="0"/>
          <w:numId w:val="13"/>
        </w:numPr>
        <w:tabs>
          <w:tab w:val="left" w:pos="6804"/>
        </w:tabs>
        <w:spacing w:before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podjęła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dobrowolne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uniknięcia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skutków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wycofanie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651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oznakowania;</w:t>
      </w:r>
    </w:p>
    <w:p w14:paraId="7E9F964A" w14:textId="57842FB8" w:rsidR="00F52D1A" w:rsidRPr="00750F8F" w:rsidRDefault="00F52D1A" w:rsidP="00203142">
      <w:pPr>
        <w:numPr>
          <w:ilvl w:val="0"/>
          <w:numId w:val="13"/>
        </w:numPr>
        <w:tabs>
          <w:tab w:val="left" w:pos="6804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wysokość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korzyści,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osiągnęła,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straty,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uniknęła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sześciu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partii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osmetycznych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znajdujących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wil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placówce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to: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844,70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B8036B">
        <w:rPr>
          <w:rFonts w:ascii="Times New Roman" w:hAnsi="Times New Roman" w:cs="Times New Roman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oparciu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AA00D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844,70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(produkty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-8</w:t>
      </w:r>
      <w:r w:rsidR="0044762F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oparciu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produktu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to: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35,99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(poz.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4DB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zakwestionowany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kątem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2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oznakowania);</w:t>
      </w:r>
    </w:p>
    <w:p w14:paraId="29A1FE30" w14:textId="1A7D4465" w:rsidR="00087245" w:rsidRPr="00EE7D1E" w:rsidRDefault="00087245" w:rsidP="00203142">
      <w:pPr>
        <w:pStyle w:val="Akapitzlist"/>
        <w:numPr>
          <w:ilvl w:val="0"/>
          <w:numId w:val="13"/>
        </w:numPr>
        <w:tabs>
          <w:tab w:val="left" w:pos="6804"/>
        </w:tabs>
        <w:spacing w:before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stroną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spółka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odpowiedzialnością,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fizyczna,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dlatego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kryterium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warunków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osobistych</w:t>
      </w:r>
      <w:r w:rsidR="00B80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strony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nakładana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D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uwagę.</w:t>
      </w:r>
    </w:p>
    <w:p w14:paraId="2C090CF7" w14:textId="063DB339" w:rsidR="00F52D1A" w:rsidRPr="00750F8F" w:rsidRDefault="00F52D1A" w:rsidP="00203142">
      <w:pPr>
        <w:tabs>
          <w:tab w:val="left" w:pos="6804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70.000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</w:t>
      </w:r>
      <w:r w:rsidR="000872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3D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183">
        <w:rPr>
          <w:rFonts w:ascii="Times New Roman" w:eastAsia="Times New Roman" w:hAnsi="Times New Roman" w:cs="Times New Roman"/>
          <w:sz w:val="24"/>
          <w:szCs w:val="24"/>
          <w:lang w:eastAsia="pl-PL"/>
        </w:rPr>
        <w:t>3000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A0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DD66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4,29 </w:t>
      </w:r>
      <w:r w:rsidR="00087245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maksymalnej.</w:t>
      </w:r>
    </w:p>
    <w:p w14:paraId="7243390B" w14:textId="093F213E" w:rsidR="00F52D1A" w:rsidRDefault="00B64412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0.000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C6763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odstawie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6763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6763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BA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cytowanej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wymierzył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</w:t>
      </w:r>
      <w:r w:rsidR="006B4BA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niężną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4BA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1000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dopuszczalnej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D1A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maksymalnej.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B371019" w14:textId="27A0D5F5" w:rsidR="00087245" w:rsidRDefault="00087245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skierowane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pokontrolne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stwierdzić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należy,</w:t>
      </w:r>
      <w:r w:rsidR="00DD66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wyjątkiem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0321" w:rsidRP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A20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odpowiedzieli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właściwy,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przyjmując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kontroli,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uznając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samym,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kontrolowanego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oznakowane.</w:t>
      </w:r>
    </w:p>
    <w:p w14:paraId="781EA558" w14:textId="1A4995FC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DC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E09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Niemniej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jednak,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pragnie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zauważyć,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podjęte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naprawcze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tylko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przesłanek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określaniu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(działania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podjęte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dobrowolnie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uniknięcia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skutków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prawa)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wziął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uwagę.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rozpatrując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toku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postepowania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uznał,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mimo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aprzestania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pieniężnej.</w:t>
      </w:r>
    </w:p>
    <w:p w14:paraId="4ABA19E7" w14:textId="3F89580A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1223/2009,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sankcje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proporcjonalne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odstraszające.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przejawia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wyegzekwowania.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odstraszająca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dotkliwa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musi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prewencyjną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dyscyplinująco-represyjną,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ostrzeżeniem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mającym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niedopuszczenie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powstania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przyszłości.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proporcjonalna,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osiągnięcia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zakładanego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jakim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obrocie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tylko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spełniające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prawne,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najmniej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uciążliwa.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winny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uwzględnione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Wymierzone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="0045675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755"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0E99" w:rsidRPr="00DD66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4000</w:t>
      </w:r>
      <w:r w:rsidR="00B8036B" w:rsidRPr="00DD66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D66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B8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organu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wymagania.</w:t>
      </w:r>
    </w:p>
    <w:p w14:paraId="60809359" w14:textId="1235FA0D" w:rsidR="00F52D1A" w:rsidRPr="00750F8F" w:rsidRDefault="00F52D1A" w:rsidP="00DD6680">
      <w:pPr>
        <w:tabs>
          <w:tab w:val="left" w:pos="708"/>
          <w:tab w:val="num" w:pos="3720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znalazł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odstąpienia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pieniężnej.</w:t>
      </w:r>
    </w:p>
    <w:p w14:paraId="3FA1B4C5" w14:textId="67260A5A" w:rsidR="00F52D1A" w:rsidRPr="00750F8F" w:rsidRDefault="00F52D1A" w:rsidP="00203142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Przesłanki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odstąpienia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189f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publicznej,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drodze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odstępuje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poprzestaje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pouczeniu,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jeżeli:</w:t>
      </w:r>
    </w:p>
    <w:p w14:paraId="39A0B193" w14:textId="5524930B" w:rsidR="00F52D1A" w:rsidRPr="00750F8F" w:rsidRDefault="00F52D1A" w:rsidP="00203142">
      <w:pPr>
        <w:numPr>
          <w:ilvl w:val="1"/>
          <w:numId w:val="14"/>
        </w:numPr>
        <w:tabs>
          <w:tab w:val="left" w:pos="708"/>
          <w:tab w:val="num" w:pos="372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waga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znikoma,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zaprzestała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naruszania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</w:p>
    <w:p w14:paraId="64C91D3B" w14:textId="28AA6A9A" w:rsidR="00F52D1A" w:rsidRPr="00750F8F" w:rsidRDefault="00F52D1A" w:rsidP="00203142">
      <w:pPr>
        <w:numPr>
          <w:ilvl w:val="1"/>
          <w:numId w:val="14"/>
        </w:numPr>
        <w:tabs>
          <w:tab w:val="left" w:pos="708"/>
          <w:tab w:val="num" w:pos="3720"/>
        </w:tabs>
        <w:spacing w:after="6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decyzją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uprzednio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uprawniony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administracji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publicznej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ukarana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skarbowe,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skazana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przestępstwo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przestępstwo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skarbowe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uprzednia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cele,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miałaby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nałożona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administracyjna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pieniężna.</w:t>
      </w:r>
    </w:p>
    <w:p w14:paraId="12734F8E" w14:textId="31F3F32D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uznać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znikomą,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D7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1CC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14B5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8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(która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oznakowanie)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nawet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jeden,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przypisujące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posiadały</w:t>
      </w:r>
      <w:r w:rsidR="00F17A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łącznie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uwadze,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znikomą,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ymierzenia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46E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kpa.</w:t>
      </w:r>
    </w:p>
    <w:p w14:paraId="6CBFBC5F" w14:textId="2274CC42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1pkt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kpa.</w:t>
      </w:r>
    </w:p>
    <w:p w14:paraId="12AA74C9" w14:textId="7746B779" w:rsidR="00F52D1A" w:rsidRPr="00750F8F" w:rsidRDefault="00F52D1A" w:rsidP="0020314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Brak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myśl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niż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wymienione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1,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pozwoli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celów,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miałaby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drodze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postanowienia,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wyznaczyć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potwierdzających: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04F08A1" w14:textId="7CF938E8" w:rsidR="00F52D1A" w:rsidRPr="00750F8F" w:rsidRDefault="00F52D1A" w:rsidP="00203142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</w:p>
    <w:p w14:paraId="630AD883" w14:textId="4C1696E0" w:rsidR="00F52D1A" w:rsidRPr="00750F8F" w:rsidRDefault="00F52D1A" w:rsidP="00203142">
      <w:pPr>
        <w:numPr>
          <w:ilvl w:val="0"/>
          <w:numId w:val="10"/>
        </w:numPr>
        <w:suppressAutoHyphens/>
        <w:spacing w:after="6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określając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powiadomienia.</w:t>
      </w:r>
    </w:p>
    <w:p w14:paraId="3220F321" w14:textId="5E138552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Wydanie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postanowienia,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którym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mowa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art.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uwagi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zmierzających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bezcelowe.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Jednakże,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pomimo,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że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wykonała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działania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naprawcze,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to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poprzez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udostępnienie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rynku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produktów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spełniających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wymagań,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odpowiadały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one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chwili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udostepnienia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rynku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wymogom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ustawy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produktach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kosmetycznych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wprowadzały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one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błąd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nabywców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co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rzeczywistych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cech.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Tym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samym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zastosowanie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przepisu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189f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ocenie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organu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byłoby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pozbawione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podstawy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faktycznej,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jak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było</w:t>
      </w:r>
      <w:r w:rsidR="00B8036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celowe.</w:t>
      </w:r>
    </w:p>
    <w:p w14:paraId="351C1527" w14:textId="757FF679" w:rsidR="00F52D1A" w:rsidRPr="00750F8F" w:rsidRDefault="00F52D1A" w:rsidP="00203142">
      <w:pPr>
        <w:tabs>
          <w:tab w:val="left" w:pos="6804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DD6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19DD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chwilą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dopuściła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efekcie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prawa.</w:t>
      </w:r>
    </w:p>
    <w:p w14:paraId="11643CAE" w14:textId="7E0F400D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doszło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wskutek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ukaraniu.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wprawdzie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zdefiniowane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niemniej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poglądami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wyrażanymi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gruncie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„zdarzenie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nikłe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zajścia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(przy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tyle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samemu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zjawisku,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następstwom)”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Pokrzywniak.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2005,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6).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„Siłę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(casus)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vis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cui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humana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infirmitas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resistere</w:t>
      </w:r>
      <w:proofErr w:type="spellEnd"/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non</w:t>
      </w:r>
      <w:r w:rsidR="00B803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potest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zwłaszcza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katastrofalnych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przyrody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zbiorowego,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wojna,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itp.,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pewnych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przeciwstawić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jednostka”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Kidyba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cywilny.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Komentarz.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2016,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124).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gruncie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pewnością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mamy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czynienia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miała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siła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wyższa.</w:t>
      </w:r>
    </w:p>
    <w:p w14:paraId="5895198F" w14:textId="033E5C97" w:rsidR="00B17890" w:rsidRPr="00750F8F" w:rsidRDefault="005D18D0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wszedł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obciążeń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regulacyjnych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1495),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wprowadził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236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21a,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nową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tzw.: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„prawo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błędu”.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„CEIDG”)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arusza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wszczyna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mandatowe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21a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znajdzie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bowiem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niepodlegającą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wpisowi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78ABF0" w14:textId="69EFD335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189d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rzył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C58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D2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406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B80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4DAE97" w14:textId="0296DDC4" w:rsidR="00841C58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oparł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dowodach: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6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06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6E005C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718" w:rsidRPr="00E12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5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pismo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email,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F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importerów: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50490" w:rsidRPr="00E12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50490" w:rsidRPr="00E12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2718" w:rsidRPr="00E12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 [xxx]</w:t>
      </w:r>
      <w:r w:rsidR="00E12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90" w:rsidRPr="000425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4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C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C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C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2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5D2A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iśmie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(wpływ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14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E2B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niezałatwieniu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6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9CD0E37" w14:textId="6655C53C" w:rsidR="00F52D1A" w:rsidRPr="00750F8F" w:rsidRDefault="00F52D1A" w:rsidP="00203142">
      <w:pPr>
        <w:tabs>
          <w:tab w:val="left" w:pos="708"/>
          <w:tab w:val="num" w:pos="3720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zaznaczyć,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oparł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spójnym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materiale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dowodowym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pozwalającym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jednoznacznie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przyjęcie,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ustalony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stan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faktyczny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rozstrzygnięcia.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powyższym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orzekł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zh-CN"/>
        </w:rPr>
        <w:t>sentencji.</w:t>
      </w:r>
    </w:p>
    <w:p w14:paraId="0AA72D60" w14:textId="5B308DBB" w:rsidR="00F52D1A" w:rsidRPr="00750F8F" w:rsidRDefault="00F52D1A" w:rsidP="00203142">
      <w:pPr>
        <w:tabs>
          <w:tab w:val="left" w:pos="6804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1997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Ordynacja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 w:val="24"/>
          <w:szCs w:val="24"/>
          <w:lang w:eastAsia="pl-PL"/>
        </w:rPr>
        <w:t>2383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uiścić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utrzymującej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mocy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instancji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5,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konta: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8463BD" w14:textId="788F6928" w:rsidR="00F52D1A" w:rsidRPr="00750F8F" w:rsidRDefault="00F52D1A" w:rsidP="00203142">
      <w:pPr>
        <w:tabs>
          <w:tab w:val="left" w:pos="6804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NBP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O/O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Rzeszowie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1010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1528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0016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5822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3100</w:t>
      </w:r>
      <w:r w:rsidR="00B8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0000.</w:t>
      </w:r>
    </w:p>
    <w:p w14:paraId="53F31569" w14:textId="7E7DE735" w:rsidR="00F52D1A" w:rsidRPr="00750F8F" w:rsidRDefault="00F52D1A" w:rsidP="00203142">
      <w:pPr>
        <w:tabs>
          <w:tab w:val="left" w:pos="680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kosmetycznych,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kar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447"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</w:t>
      </w:r>
      <w:r w:rsidR="00B80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państwa.</w:t>
      </w:r>
    </w:p>
    <w:p w14:paraId="441E06FB" w14:textId="48E981F3" w:rsidR="00F52D1A" w:rsidRPr="00750F8F" w:rsidRDefault="00F52D1A" w:rsidP="00203142">
      <w:pPr>
        <w:tabs>
          <w:tab w:val="left" w:pos="708"/>
          <w:tab w:val="num" w:pos="3720"/>
        </w:tabs>
        <w:spacing w:after="6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50F8F">
        <w:rPr>
          <w:rFonts w:ascii="Times New Roman" w:eastAsia="Times New Roman" w:hAnsi="Times New Roman" w:cs="Times New Roman"/>
          <w:b/>
          <w:u w:val="single"/>
          <w:lang w:eastAsia="pl-PL"/>
        </w:rPr>
        <w:t>Pouczenie:</w:t>
      </w:r>
    </w:p>
    <w:p w14:paraId="4EFEA0D3" w14:textId="0522817E" w:rsidR="00F52D1A" w:rsidRPr="00750F8F" w:rsidRDefault="00F52D1A" w:rsidP="00203142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F8F">
        <w:rPr>
          <w:rFonts w:ascii="Times New Roman" w:eastAsia="Times New Roman" w:hAnsi="Times New Roman" w:cs="Times New Roman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127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Kodeksu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postępowania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administracyjnego,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niniejszej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decyzji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przysługuje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stronie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odwołanie,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które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129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kpa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wnosi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Prezesa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Urzędu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Ochrony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Konkurencji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Konsumentów,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Pl.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Powstańców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Warszawy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1,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00-950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Warszawa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pośrednictwem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Podkarpackiego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Wojewódzkiego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Inspektora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Inspekcji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Handlowej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termini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14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dni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jej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doręczenia.</w:t>
      </w:r>
    </w:p>
    <w:p w14:paraId="196CB019" w14:textId="05E10F2C" w:rsidR="00F52D1A" w:rsidRPr="00750F8F" w:rsidRDefault="00F52D1A" w:rsidP="00203142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F8F">
        <w:rPr>
          <w:rFonts w:ascii="Times New Roman" w:eastAsia="Times New Roman" w:hAnsi="Times New Roman" w:cs="Times New Roman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127a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Kodeksu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postepowania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administracyjnego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przed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upływem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terminu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wniesienia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odwołania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4DA">
        <w:rPr>
          <w:rFonts w:ascii="Times New Roman" w:eastAsia="Times New Roman" w:hAnsi="Times New Roman" w:cs="Times New Roman"/>
          <w:lang w:eastAsia="pl-PL"/>
        </w:rPr>
        <w:t>s</w:t>
      </w:r>
      <w:r w:rsidRPr="00750F8F">
        <w:rPr>
          <w:rFonts w:ascii="Times New Roman" w:eastAsia="Times New Roman" w:hAnsi="Times New Roman" w:cs="Times New Roman"/>
          <w:lang w:eastAsia="pl-PL"/>
        </w:rPr>
        <w:t>trona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może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zrzec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wniesienia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odwołania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wobec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organu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administracji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publicznej,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który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wydał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decyzję.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dniem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doręczenia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organowi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administracji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publicznej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oświadczenia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zrzeczeniu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prawa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do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wniesienia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odwołania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przez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ostatnią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ze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stron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postępowania,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decyzja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lang w:eastAsia="pl-PL"/>
        </w:rPr>
        <w:t>st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aje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ostateczna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i</w:t>
      </w:r>
      <w:r w:rsidR="00B8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lang w:eastAsia="pl-PL"/>
        </w:rPr>
        <w:t>prawomocna.</w:t>
      </w:r>
    </w:p>
    <w:p w14:paraId="258B1C2B" w14:textId="3E54F62A" w:rsidR="00D215F3" w:rsidRPr="00750F8F" w:rsidRDefault="00F52D1A" w:rsidP="00203142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50F8F">
        <w:rPr>
          <w:rFonts w:ascii="Times New Roman" w:eastAsia="Times New Roman" w:hAnsi="Times New Roman" w:cs="Times New Roman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dnia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29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sierpnia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1997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–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Ordyn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acja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podatkowa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(tekst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jednolity: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br/>
        <w:t>Dz.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Cs w:val="24"/>
          <w:lang w:eastAsia="pl-PL"/>
        </w:rPr>
        <w:t>2023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r.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poz.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14EB8">
        <w:rPr>
          <w:rFonts w:ascii="Times New Roman" w:eastAsia="Times New Roman" w:hAnsi="Times New Roman" w:cs="Times New Roman"/>
          <w:szCs w:val="24"/>
          <w:lang w:eastAsia="pl-PL"/>
        </w:rPr>
        <w:t>2383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spellStart"/>
      <w:r w:rsidRPr="00750F8F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50F8F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zm.)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jeżeli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odrębne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nie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stanowią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inaczej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sprawach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dotyczących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kar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pieniężnych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stosuje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odpowiednio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przepisy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działu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III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ust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awy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Ordynacja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215F3" w:rsidRPr="00750F8F">
        <w:rPr>
          <w:rFonts w:ascii="Times New Roman" w:eastAsia="Times New Roman" w:hAnsi="Times New Roman" w:cs="Times New Roman"/>
          <w:szCs w:val="24"/>
          <w:lang w:eastAsia="pl-PL"/>
        </w:rPr>
        <w:t>podatkowa.</w:t>
      </w:r>
    </w:p>
    <w:p w14:paraId="6553995C" w14:textId="78F061C4" w:rsidR="00F52D1A" w:rsidRPr="00750F8F" w:rsidRDefault="00F52D1A" w:rsidP="00203142">
      <w:p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0F8F">
        <w:rPr>
          <w:rFonts w:ascii="Times New Roman" w:eastAsia="Times New Roman" w:hAnsi="Times New Roman" w:cs="Times New Roman"/>
          <w:szCs w:val="24"/>
          <w:lang w:eastAsia="pl-PL"/>
        </w:rPr>
        <w:t>Kara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niezapłacona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terminie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staje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się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zaległością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podatkową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rozumieniu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51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ustawy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Ordynacja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podatkowa,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której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naliczane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będą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odsetki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za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zwłokę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zgodnie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art.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53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§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Ordynacji</w:t>
      </w:r>
      <w:r w:rsidR="00B803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0F8F">
        <w:rPr>
          <w:rFonts w:ascii="Times New Roman" w:eastAsia="Times New Roman" w:hAnsi="Times New Roman" w:cs="Times New Roman"/>
          <w:szCs w:val="24"/>
          <w:lang w:eastAsia="pl-PL"/>
        </w:rPr>
        <w:t>podatkowej.</w:t>
      </w:r>
    </w:p>
    <w:p w14:paraId="2D30A14E" w14:textId="0EFFE13D" w:rsidR="005C1F96" w:rsidRDefault="005C1F96" w:rsidP="0072655B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20D7630" w14:textId="41864DDB" w:rsidR="0072655B" w:rsidRDefault="0047065B" w:rsidP="0072655B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D661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A488F2" wp14:editId="53EB7D92">
                <wp:simplePos x="0" y="0"/>
                <wp:positionH relativeFrom="margin">
                  <wp:posOffset>2748280</wp:posOffset>
                </wp:positionH>
                <wp:positionV relativeFrom="paragraph">
                  <wp:posOffset>62865</wp:posOffset>
                </wp:positionV>
                <wp:extent cx="3009900" cy="1362075"/>
                <wp:effectExtent l="0" t="0" r="0" b="952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F2B5" w14:textId="77777777" w:rsidR="00D603F4" w:rsidRPr="001E7965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507130920" w:edGrp="everyone"/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7529FDF7" w14:textId="77777777" w:rsidR="00D603F4" w:rsidRPr="001E7965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6700E271" w14:textId="77777777" w:rsidR="00D603F4" w:rsidRPr="001E7965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7FBF0AE" w14:textId="77777777" w:rsidR="00D603F4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74CFEB5" w14:textId="77777777" w:rsidR="00D603F4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D421C6" w14:textId="77777777" w:rsidR="00D603F4" w:rsidRPr="001E7965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206F5C" w14:textId="77777777" w:rsidR="00D603F4" w:rsidRPr="00C45417" w:rsidRDefault="00D603F4" w:rsidP="00214EB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5071309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88F2" id="Pole tekstowe 7" o:spid="_x0000_s1029" type="#_x0000_t202" style="position:absolute;margin-left:216.4pt;margin-top:4.95pt;width:237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" stroked="f">
                <v:textbox>
                  <w:txbxContent>
                    <w:p w14:paraId="74D6F2B5" w14:textId="77777777" w:rsidR="00D603F4" w:rsidRPr="001E7965" w:rsidRDefault="00D603F4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507130920" w:edGrp="everyone"/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7529FDF7" w14:textId="77777777" w:rsidR="00D603F4" w:rsidRPr="001E7965" w:rsidRDefault="00D603F4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6700E271" w14:textId="77777777" w:rsidR="00D603F4" w:rsidRPr="001E7965" w:rsidRDefault="00D603F4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7FBF0AE" w14:textId="77777777" w:rsidR="00D603F4" w:rsidRDefault="00D603F4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74CFEB5" w14:textId="77777777" w:rsidR="00D603F4" w:rsidRDefault="00D603F4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FD421C6" w14:textId="77777777" w:rsidR="00D603F4" w:rsidRPr="001E7965" w:rsidRDefault="00D603F4" w:rsidP="00214EB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8206F5C" w14:textId="77777777" w:rsidR="00D603F4" w:rsidRPr="00C45417" w:rsidRDefault="00D603F4" w:rsidP="00214EB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  <w:permEnd w:id="50713092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655B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Otrzymują</w:t>
      </w:r>
      <w:r w:rsidR="0072655B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14:paraId="597BC84F" w14:textId="4CE3FC24" w:rsidR="0072655B" w:rsidRDefault="0072655B" w:rsidP="00533678">
      <w:pPr>
        <w:numPr>
          <w:ilvl w:val="0"/>
          <w:numId w:val="3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zh-CN"/>
        </w:rPr>
        <w:t>Adresat;</w:t>
      </w:r>
    </w:p>
    <w:p w14:paraId="1240078A" w14:textId="18712B3C" w:rsidR="00EC14DA" w:rsidRDefault="00EC14DA" w:rsidP="00EC14DA">
      <w:pPr>
        <w:tabs>
          <w:tab w:val="left" w:pos="708"/>
        </w:tabs>
        <w:ind w:left="360"/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zh-CN"/>
        </w:rPr>
        <w:t>adres</w:t>
      </w:r>
      <w:r w:rsidR="00B8036B">
        <w:rPr>
          <w:rFonts w:ascii="Times New Roman" w:eastAsia="Times New Roman" w:hAnsi="Times New Roman" w:cs="Times New Roman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zh-CN"/>
        </w:rPr>
        <w:t>do</w:t>
      </w:r>
      <w:r w:rsidR="00B8036B">
        <w:rPr>
          <w:rFonts w:ascii="Times New Roman" w:eastAsia="Times New Roman" w:hAnsi="Times New Roman" w:cs="Times New Roman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zh-CN"/>
        </w:rPr>
        <w:t>doręczeń:</w:t>
      </w:r>
    </w:p>
    <w:p w14:paraId="3D8FEA47" w14:textId="431A795F" w:rsidR="00EC14DA" w:rsidRPr="00EC14DA" w:rsidRDefault="00EC14DA" w:rsidP="00EC14DA">
      <w:pPr>
        <w:tabs>
          <w:tab w:val="left" w:pos="708"/>
        </w:tabs>
        <w:ind w:left="360"/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zh-CN"/>
        </w:rPr>
        <w:t>ul.</w:t>
      </w:r>
      <w:r w:rsidR="00B8036B">
        <w:rPr>
          <w:rFonts w:ascii="Times New Roman" w:eastAsia="Times New Roman" w:hAnsi="Times New Roman" w:cs="Times New Roman"/>
          <w:szCs w:val="16"/>
          <w:lang w:eastAsia="zh-CN"/>
        </w:rPr>
        <w:t xml:space="preserve"> </w:t>
      </w:r>
      <w:r w:rsidR="00E12718" w:rsidRPr="00E12718">
        <w:rPr>
          <w:rFonts w:ascii="Times New Roman" w:eastAsia="Times New Roman" w:hAnsi="Times New Roman" w:cs="Times New Roman"/>
          <w:b/>
          <w:bCs/>
          <w:szCs w:val="16"/>
          <w:lang w:eastAsia="zh-CN"/>
        </w:rPr>
        <w:t>[xxx]</w:t>
      </w:r>
      <w:r w:rsidRPr="00EC14DA">
        <w:rPr>
          <w:rFonts w:ascii="Times New Roman" w:eastAsia="Times New Roman" w:hAnsi="Times New Roman" w:cs="Times New Roman"/>
          <w:szCs w:val="16"/>
          <w:lang w:eastAsia="zh-CN"/>
        </w:rPr>
        <w:t>,</w:t>
      </w:r>
    </w:p>
    <w:p w14:paraId="60310AE3" w14:textId="2F445CB4" w:rsidR="00EC14DA" w:rsidRDefault="00E12718" w:rsidP="00EC14DA">
      <w:pPr>
        <w:tabs>
          <w:tab w:val="left" w:pos="708"/>
        </w:tabs>
        <w:ind w:left="360"/>
        <w:rPr>
          <w:rFonts w:ascii="Times New Roman" w:eastAsia="Times New Roman" w:hAnsi="Times New Roman" w:cs="Times New Roman"/>
          <w:szCs w:val="16"/>
          <w:lang w:eastAsia="zh-CN"/>
        </w:rPr>
      </w:pPr>
      <w:r w:rsidRPr="00E12718">
        <w:rPr>
          <w:rFonts w:ascii="Times New Roman" w:eastAsia="Times New Roman" w:hAnsi="Times New Roman" w:cs="Times New Roman"/>
          <w:b/>
          <w:bCs/>
          <w:szCs w:val="16"/>
          <w:lang w:eastAsia="zh-CN"/>
        </w:rPr>
        <w:t>[xxx]</w:t>
      </w:r>
    </w:p>
    <w:p w14:paraId="5593BB31" w14:textId="7BF9122A" w:rsidR="003F793B" w:rsidRPr="003F793B" w:rsidRDefault="0072655B" w:rsidP="003F793B">
      <w:pPr>
        <w:numPr>
          <w:ilvl w:val="0"/>
          <w:numId w:val="3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>Wydz.</w:t>
      </w:r>
      <w:r w:rsidR="00B8036B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pl-PL"/>
        </w:rPr>
        <w:t>BA;</w:t>
      </w:r>
    </w:p>
    <w:p w14:paraId="09A9F2D4" w14:textId="698596C9" w:rsidR="007E5F4F" w:rsidRPr="005D18D0" w:rsidRDefault="00214EB8" w:rsidP="005D18D0">
      <w:pPr>
        <w:numPr>
          <w:ilvl w:val="0"/>
          <w:numId w:val="3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>Aa</w:t>
      </w:r>
      <w:r w:rsidR="00B8036B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pl-PL"/>
        </w:rPr>
        <w:t>(DP/P.M,</w:t>
      </w:r>
      <w:r w:rsidR="00B8036B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16"/>
          <w:lang w:eastAsia="pl-PL"/>
        </w:rPr>
        <w:t>po-</w:t>
      </w:r>
      <w:proofErr w:type="spellStart"/>
      <w:r>
        <w:rPr>
          <w:rFonts w:ascii="Times New Roman" w:eastAsia="Times New Roman" w:hAnsi="Times New Roman" w:cs="Times New Roman"/>
          <w:szCs w:val="16"/>
          <w:lang w:eastAsia="pl-PL"/>
        </w:rPr>
        <w:t>m.o</w:t>
      </w:r>
      <w:proofErr w:type="spellEnd"/>
      <w:r w:rsidR="00D364F6">
        <w:rPr>
          <w:rFonts w:ascii="Times New Roman" w:eastAsia="Times New Roman" w:hAnsi="Times New Roman" w:cs="Times New Roman"/>
          <w:szCs w:val="16"/>
          <w:lang w:eastAsia="pl-PL"/>
        </w:rPr>
        <w:t>.</w:t>
      </w:r>
      <w:r w:rsidR="0072655B">
        <w:rPr>
          <w:rFonts w:ascii="Times New Roman" w:eastAsia="Times New Roman" w:hAnsi="Times New Roman" w:cs="Times New Roman"/>
          <w:szCs w:val="16"/>
          <w:lang w:eastAsia="pl-PL"/>
        </w:rPr>
        <w:t>).</w:t>
      </w:r>
      <w:r w:rsidR="00B8036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permEnd w:id="98387962"/>
    </w:p>
    <w:sectPr w:rsidR="007E5F4F" w:rsidRPr="005D18D0" w:rsidSect="00D626C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A8C7" w14:textId="77777777" w:rsidR="00F04D1D" w:rsidRDefault="00F04D1D" w:rsidP="004D6612">
      <w:r>
        <w:separator/>
      </w:r>
    </w:p>
  </w:endnote>
  <w:endnote w:type="continuationSeparator" w:id="0">
    <w:p w14:paraId="7A770FD5" w14:textId="77777777" w:rsidR="00F04D1D" w:rsidRDefault="00F04D1D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D603F4" w:rsidRPr="002E4614" w:rsidRDefault="00D603F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24BE8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24BE8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2D73" w14:textId="77777777" w:rsidR="00F04D1D" w:rsidRDefault="00F04D1D" w:rsidP="004D6612">
      <w:r>
        <w:separator/>
      </w:r>
    </w:p>
  </w:footnote>
  <w:footnote w:type="continuationSeparator" w:id="0">
    <w:p w14:paraId="5C860E4E" w14:textId="77777777" w:rsidR="00F04D1D" w:rsidRDefault="00F04D1D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2D8"/>
    <w:multiLevelType w:val="hybridMultilevel"/>
    <w:tmpl w:val="26FCE6D2"/>
    <w:lvl w:ilvl="0" w:tplc="2AB4A0D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3C53FA5"/>
    <w:multiLevelType w:val="hybridMultilevel"/>
    <w:tmpl w:val="700C06A8"/>
    <w:lvl w:ilvl="0" w:tplc="C8BEC4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097F"/>
    <w:multiLevelType w:val="hybridMultilevel"/>
    <w:tmpl w:val="6778FF30"/>
    <w:lvl w:ilvl="0" w:tplc="6AC8166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A06C2"/>
    <w:multiLevelType w:val="hybridMultilevel"/>
    <w:tmpl w:val="2BC80E1E"/>
    <w:lvl w:ilvl="0" w:tplc="A8BA72B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217"/>
    <w:multiLevelType w:val="hybridMultilevel"/>
    <w:tmpl w:val="A3D6E5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7A0"/>
    <w:multiLevelType w:val="hybridMultilevel"/>
    <w:tmpl w:val="7E2E2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1E89"/>
    <w:multiLevelType w:val="hybridMultilevel"/>
    <w:tmpl w:val="4404BE10"/>
    <w:lvl w:ilvl="0" w:tplc="831C490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C169E"/>
    <w:multiLevelType w:val="hybridMultilevel"/>
    <w:tmpl w:val="CF6AAA54"/>
    <w:lvl w:ilvl="0" w:tplc="B71055BE">
      <w:start w:val="1"/>
      <w:numFmt w:val="lowerLetter"/>
      <w:suff w:val="space"/>
      <w:lvlText w:val="%1)"/>
      <w:lvlJc w:val="left"/>
      <w:pPr>
        <w:ind w:left="171" w:hanging="17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15AD5434"/>
    <w:multiLevelType w:val="hybridMultilevel"/>
    <w:tmpl w:val="B658F696"/>
    <w:lvl w:ilvl="0" w:tplc="8264C23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F27088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7630D"/>
    <w:multiLevelType w:val="hybridMultilevel"/>
    <w:tmpl w:val="941EDD4E"/>
    <w:lvl w:ilvl="0" w:tplc="565EBD82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30F3A"/>
    <w:multiLevelType w:val="hybridMultilevel"/>
    <w:tmpl w:val="A4DE4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56958"/>
    <w:multiLevelType w:val="hybridMultilevel"/>
    <w:tmpl w:val="9B242FF4"/>
    <w:lvl w:ilvl="0" w:tplc="CB28620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1406F"/>
    <w:multiLevelType w:val="hybridMultilevel"/>
    <w:tmpl w:val="009CC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02830"/>
    <w:multiLevelType w:val="hybridMultilevel"/>
    <w:tmpl w:val="CBA05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979E1"/>
    <w:multiLevelType w:val="hybridMultilevel"/>
    <w:tmpl w:val="EB6888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33676"/>
    <w:multiLevelType w:val="hybridMultilevel"/>
    <w:tmpl w:val="28489850"/>
    <w:lvl w:ilvl="0" w:tplc="FABED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F3F6B"/>
    <w:multiLevelType w:val="hybridMultilevel"/>
    <w:tmpl w:val="26BA0EA0"/>
    <w:lvl w:ilvl="0" w:tplc="CB8AEB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E565B"/>
    <w:multiLevelType w:val="hybridMultilevel"/>
    <w:tmpl w:val="53D0A1E8"/>
    <w:lvl w:ilvl="0" w:tplc="4C302CA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23629"/>
    <w:multiLevelType w:val="hybridMultilevel"/>
    <w:tmpl w:val="055006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D5375"/>
    <w:multiLevelType w:val="hybridMultilevel"/>
    <w:tmpl w:val="8B76D78C"/>
    <w:lvl w:ilvl="0" w:tplc="04150015">
      <w:start w:val="1"/>
      <w:numFmt w:val="upp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C698367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717B"/>
    <w:multiLevelType w:val="hybridMultilevel"/>
    <w:tmpl w:val="9B7E957E"/>
    <w:lvl w:ilvl="0" w:tplc="B150CDF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D619B8"/>
    <w:multiLevelType w:val="hybridMultilevel"/>
    <w:tmpl w:val="A2CA8AD2"/>
    <w:lvl w:ilvl="0" w:tplc="113CA6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D4008"/>
    <w:multiLevelType w:val="hybridMultilevel"/>
    <w:tmpl w:val="520E6F0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557CF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B01E6"/>
    <w:multiLevelType w:val="hybridMultilevel"/>
    <w:tmpl w:val="FE3C0950"/>
    <w:lvl w:ilvl="0" w:tplc="E8B28A6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12DB9"/>
    <w:multiLevelType w:val="hybridMultilevel"/>
    <w:tmpl w:val="468271A0"/>
    <w:lvl w:ilvl="0" w:tplc="958EFF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D3F2609"/>
    <w:multiLevelType w:val="hybridMultilevel"/>
    <w:tmpl w:val="DFDE09EE"/>
    <w:lvl w:ilvl="0" w:tplc="C8BEC40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94B8C"/>
    <w:multiLevelType w:val="hybridMultilevel"/>
    <w:tmpl w:val="B34C0714"/>
    <w:lvl w:ilvl="0" w:tplc="8F32FD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B7C57"/>
    <w:multiLevelType w:val="hybridMultilevel"/>
    <w:tmpl w:val="B0706B4E"/>
    <w:lvl w:ilvl="0" w:tplc="04150015">
      <w:start w:val="1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 w:tplc="831C4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26850"/>
    <w:multiLevelType w:val="hybridMultilevel"/>
    <w:tmpl w:val="1DE8AEF6"/>
    <w:lvl w:ilvl="0" w:tplc="E222D516">
      <w:start w:val="1"/>
      <w:numFmt w:val="upperRoman"/>
      <w:lvlText w:val="%1.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B43792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1706B"/>
    <w:multiLevelType w:val="hybridMultilevel"/>
    <w:tmpl w:val="F1584C98"/>
    <w:lvl w:ilvl="0" w:tplc="C8BEC400">
      <w:start w:val="2"/>
      <w:numFmt w:val="upp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459F3"/>
    <w:multiLevelType w:val="hybridMultilevel"/>
    <w:tmpl w:val="2A461DDE"/>
    <w:lvl w:ilvl="0" w:tplc="86D895D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AB60F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AB14D9"/>
    <w:multiLevelType w:val="hybridMultilevel"/>
    <w:tmpl w:val="70E2F3B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557CF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02C7C"/>
    <w:multiLevelType w:val="hybridMultilevel"/>
    <w:tmpl w:val="A8BEFA88"/>
    <w:lvl w:ilvl="0" w:tplc="958EFF8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6603F9D"/>
    <w:multiLevelType w:val="hybridMultilevel"/>
    <w:tmpl w:val="E56631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03FE3"/>
    <w:multiLevelType w:val="hybridMultilevel"/>
    <w:tmpl w:val="55DC70EA"/>
    <w:lvl w:ilvl="0" w:tplc="C0C6138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A211F"/>
    <w:multiLevelType w:val="hybridMultilevel"/>
    <w:tmpl w:val="5AC0FD12"/>
    <w:lvl w:ilvl="0" w:tplc="80909C8A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F7B62"/>
    <w:multiLevelType w:val="hybridMultilevel"/>
    <w:tmpl w:val="A97A3B2C"/>
    <w:lvl w:ilvl="0" w:tplc="2CB4672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 w15:restartNumberingAfterBreak="0">
    <w:nsid w:val="6D8A1307"/>
    <w:multiLevelType w:val="hybridMultilevel"/>
    <w:tmpl w:val="E904C65C"/>
    <w:lvl w:ilvl="0" w:tplc="CC72F04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93D11"/>
    <w:multiLevelType w:val="hybridMultilevel"/>
    <w:tmpl w:val="D31453FA"/>
    <w:lvl w:ilvl="0" w:tplc="FABED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94631"/>
    <w:multiLevelType w:val="hybridMultilevel"/>
    <w:tmpl w:val="821A8588"/>
    <w:lvl w:ilvl="0" w:tplc="F9724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014AF"/>
    <w:multiLevelType w:val="hybridMultilevel"/>
    <w:tmpl w:val="4FAE19D2"/>
    <w:lvl w:ilvl="0" w:tplc="FABED8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813772">
    <w:abstractNumId w:val="3"/>
  </w:num>
  <w:num w:numId="2" w16cid:durableId="1707370535">
    <w:abstractNumId w:val="13"/>
  </w:num>
  <w:num w:numId="3" w16cid:durableId="393966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716511">
    <w:abstractNumId w:val="33"/>
  </w:num>
  <w:num w:numId="5" w16cid:durableId="623391934">
    <w:abstractNumId w:val="39"/>
  </w:num>
  <w:num w:numId="6" w16cid:durableId="1814827261">
    <w:abstractNumId w:val="31"/>
  </w:num>
  <w:num w:numId="7" w16cid:durableId="169179695">
    <w:abstractNumId w:val="40"/>
  </w:num>
  <w:num w:numId="8" w16cid:durableId="777943430">
    <w:abstractNumId w:val="22"/>
  </w:num>
  <w:num w:numId="9" w16cid:durableId="180168731">
    <w:abstractNumId w:val="0"/>
  </w:num>
  <w:num w:numId="10" w16cid:durableId="707684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582173">
    <w:abstractNumId w:val="15"/>
  </w:num>
  <w:num w:numId="12" w16cid:durableId="957954509">
    <w:abstractNumId w:val="30"/>
  </w:num>
  <w:num w:numId="13" w16cid:durableId="1237933613">
    <w:abstractNumId w:val="11"/>
  </w:num>
  <w:num w:numId="14" w16cid:durableId="1450080692">
    <w:abstractNumId w:val="16"/>
  </w:num>
  <w:num w:numId="15" w16cid:durableId="1845895864">
    <w:abstractNumId w:val="1"/>
  </w:num>
  <w:num w:numId="16" w16cid:durableId="1825899348">
    <w:abstractNumId w:val="6"/>
  </w:num>
  <w:num w:numId="17" w16cid:durableId="1348168096">
    <w:abstractNumId w:val="37"/>
  </w:num>
  <w:num w:numId="18" w16cid:durableId="437600659">
    <w:abstractNumId w:val="46"/>
  </w:num>
  <w:num w:numId="19" w16cid:durableId="932518579">
    <w:abstractNumId w:val="23"/>
  </w:num>
  <w:num w:numId="20" w16cid:durableId="70734018">
    <w:abstractNumId w:val="32"/>
  </w:num>
  <w:num w:numId="21" w16cid:durableId="1279415369">
    <w:abstractNumId w:val="27"/>
  </w:num>
  <w:num w:numId="22" w16cid:durableId="349574342">
    <w:abstractNumId w:val="5"/>
  </w:num>
  <w:num w:numId="23" w16cid:durableId="1733121190">
    <w:abstractNumId w:val="42"/>
  </w:num>
  <w:num w:numId="24" w16cid:durableId="83108396">
    <w:abstractNumId w:val="21"/>
  </w:num>
  <w:num w:numId="25" w16cid:durableId="879823969">
    <w:abstractNumId w:val="10"/>
  </w:num>
  <w:num w:numId="26" w16cid:durableId="103153701">
    <w:abstractNumId w:val="41"/>
  </w:num>
  <w:num w:numId="27" w16cid:durableId="1849366644">
    <w:abstractNumId w:val="7"/>
  </w:num>
  <w:num w:numId="28" w16cid:durableId="396973044">
    <w:abstractNumId w:val="12"/>
  </w:num>
  <w:num w:numId="29" w16cid:durableId="977807927">
    <w:abstractNumId w:val="28"/>
  </w:num>
  <w:num w:numId="30" w16cid:durableId="627124434">
    <w:abstractNumId w:val="25"/>
  </w:num>
  <w:num w:numId="31" w16cid:durableId="1474522095">
    <w:abstractNumId w:val="38"/>
  </w:num>
  <w:num w:numId="32" w16cid:durableId="151220257">
    <w:abstractNumId w:val="36"/>
  </w:num>
  <w:num w:numId="33" w16cid:durableId="1285423482">
    <w:abstractNumId w:val="43"/>
  </w:num>
  <w:num w:numId="34" w16cid:durableId="778525695">
    <w:abstractNumId w:val="19"/>
  </w:num>
  <w:num w:numId="35" w16cid:durableId="967470296">
    <w:abstractNumId w:val="8"/>
  </w:num>
  <w:num w:numId="36" w16cid:durableId="464739998">
    <w:abstractNumId w:val="17"/>
  </w:num>
  <w:num w:numId="37" w16cid:durableId="1862162964">
    <w:abstractNumId w:val="18"/>
  </w:num>
  <w:num w:numId="38" w16cid:durableId="812794910">
    <w:abstractNumId w:val="35"/>
  </w:num>
  <w:num w:numId="39" w16cid:durableId="737746403">
    <w:abstractNumId w:val="14"/>
  </w:num>
  <w:num w:numId="40" w16cid:durableId="698891355">
    <w:abstractNumId w:val="26"/>
  </w:num>
  <w:num w:numId="41" w16cid:durableId="1948537468">
    <w:abstractNumId w:val="24"/>
  </w:num>
  <w:num w:numId="42" w16cid:durableId="1614021818">
    <w:abstractNumId w:val="34"/>
  </w:num>
  <w:num w:numId="43" w16cid:durableId="285742563">
    <w:abstractNumId w:val="9"/>
  </w:num>
  <w:num w:numId="44" w16cid:durableId="101077051">
    <w:abstractNumId w:val="20"/>
  </w:num>
  <w:num w:numId="45" w16cid:durableId="629014552">
    <w:abstractNumId w:val="44"/>
  </w:num>
  <w:num w:numId="46" w16cid:durableId="2101640613">
    <w:abstractNumId w:val="2"/>
  </w:num>
  <w:num w:numId="47" w16cid:durableId="1616786810">
    <w:abstractNumId w:val="29"/>
  </w:num>
  <w:num w:numId="48" w16cid:durableId="252714129">
    <w:abstractNumId w:val="4"/>
  </w:num>
  <w:num w:numId="49" w16cid:durableId="1703094795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08F9"/>
    <w:rsid w:val="00002CC2"/>
    <w:rsid w:val="00002D7D"/>
    <w:rsid w:val="000040C7"/>
    <w:rsid w:val="00006FE7"/>
    <w:rsid w:val="00010BEA"/>
    <w:rsid w:val="00012606"/>
    <w:rsid w:val="00014FDF"/>
    <w:rsid w:val="000176FE"/>
    <w:rsid w:val="00020E85"/>
    <w:rsid w:val="00023E5E"/>
    <w:rsid w:val="00023FB7"/>
    <w:rsid w:val="000255F9"/>
    <w:rsid w:val="000335C5"/>
    <w:rsid w:val="00034CEB"/>
    <w:rsid w:val="00041051"/>
    <w:rsid w:val="0004211B"/>
    <w:rsid w:val="00042453"/>
    <w:rsid w:val="000462A7"/>
    <w:rsid w:val="0004686D"/>
    <w:rsid w:val="000503BA"/>
    <w:rsid w:val="00062941"/>
    <w:rsid w:val="00062DC7"/>
    <w:rsid w:val="00065BBD"/>
    <w:rsid w:val="000678F0"/>
    <w:rsid w:val="000713AD"/>
    <w:rsid w:val="00071AB7"/>
    <w:rsid w:val="00071F4B"/>
    <w:rsid w:val="000767B7"/>
    <w:rsid w:val="00077FED"/>
    <w:rsid w:val="000819BA"/>
    <w:rsid w:val="0008386E"/>
    <w:rsid w:val="0008402A"/>
    <w:rsid w:val="00084215"/>
    <w:rsid w:val="00087245"/>
    <w:rsid w:val="000947F0"/>
    <w:rsid w:val="00095B40"/>
    <w:rsid w:val="00096EE3"/>
    <w:rsid w:val="0009713E"/>
    <w:rsid w:val="000A196B"/>
    <w:rsid w:val="000A1ABB"/>
    <w:rsid w:val="000A20CA"/>
    <w:rsid w:val="000A56CD"/>
    <w:rsid w:val="000A7E9E"/>
    <w:rsid w:val="000B32A8"/>
    <w:rsid w:val="000B41D9"/>
    <w:rsid w:val="000B511C"/>
    <w:rsid w:val="000B6E78"/>
    <w:rsid w:val="000B6FEC"/>
    <w:rsid w:val="000B7CCA"/>
    <w:rsid w:val="000C1E25"/>
    <w:rsid w:val="000C31A1"/>
    <w:rsid w:val="000C397E"/>
    <w:rsid w:val="000C4E2B"/>
    <w:rsid w:val="000C54D2"/>
    <w:rsid w:val="000C6933"/>
    <w:rsid w:val="000D53F7"/>
    <w:rsid w:val="000D728E"/>
    <w:rsid w:val="000E4A3E"/>
    <w:rsid w:val="000E652A"/>
    <w:rsid w:val="000F06E6"/>
    <w:rsid w:val="000F4615"/>
    <w:rsid w:val="00105039"/>
    <w:rsid w:val="001055C8"/>
    <w:rsid w:val="00106271"/>
    <w:rsid w:val="001073A9"/>
    <w:rsid w:val="00107EC3"/>
    <w:rsid w:val="00110627"/>
    <w:rsid w:val="00111E1E"/>
    <w:rsid w:val="00113BA9"/>
    <w:rsid w:val="00117B80"/>
    <w:rsid w:val="00117D65"/>
    <w:rsid w:val="001235CB"/>
    <w:rsid w:val="001239CB"/>
    <w:rsid w:val="00123D4E"/>
    <w:rsid w:val="001240DA"/>
    <w:rsid w:val="00126991"/>
    <w:rsid w:val="00132C6D"/>
    <w:rsid w:val="00136824"/>
    <w:rsid w:val="0014051A"/>
    <w:rsid w:val="00140EDD"/>
    <w:rsid w:val="00144D28"/>
    <w:rsid w:val="001534D2"/>
    <w:rsid w:val="00156DB5"/>
    <w:rsid w:val="0016444B"/>
    <w:rsid w:val="00165100"/>
    <w:rsid w:val="00165AF6"/>
    <w:rsid w:val="00170E04"/>
    <w:rsid w:val="00170FC5"/>
    <w:rsid w:val="00172DD7"/>
    <w:rsid w:val="00175A3A"/>
    <w:rsid w:val="00184DB4"/>
    <w:rsid w:val="00186F90"/>
    <w:rsid w:val="0019030E"/>
    <w:rsid w:val="00190B8A"/>
    <w:rsid w:val="00194087"/>
    <w:rsid w:val="00194508"/>
    <w:rsid w:val="00195374"/>
    <w:rsid w:val="00195450"/>
    <w:rsid w:val="001A1ED9"/>
    <w:rsid w:val="001A2B0C"/>
    <w:rsid w:val="001A3725"/>
    <w:rsid w:val="001A68E5"/>
    <w:rsid w:val="001A7F5C"/>
    <w:rsid w:val="001B0305"/>
    <w:rsid w:val="001B3454"/>
    <w:rsid w:val="001B43B4"/>
    <w:rsid w:val="001B6722"/>
    <w:rsid w:val="001B6F5B"/>
    <w:rsid w:val="001C0B3D"/>
    <w:rsid w:val="001C19F4"/>
    <w:rsid w:val="001C1A53"/>
    <w:rsid w:val="001C36C8"/>
    <w:rsid w:val="001D06DB"/>
    <w:rsid w:val="001D1077"/>
    <w:rsid w:val="001E0006"/>
    <w:rsid w:val="001E1950"/>
    <w:rsid w:val="001E3F9F"/>
    <w:rsid w:val="001E506D"/>
    <w:rsid w:val="001E5385"/>
    <w:rsid w:val="001E70D9"/>
    <w:rsid w:val="001E7965"/>
    <w:rsid w:val="001F1AEF"/>
    <w:rsid w:val="001F1D97"/>
    <w:rsid w:val="001F4B7D"/>
    <w:rsid w:val="001F6544"/>
    <w:rsid w:val="001F69A8"/>
    <w:rsid w:val="00203142"/>
    <w:rsid w:val="002033D1"/>
    <w:rsid w:val="00204C7E"/>
    <w:rsid w:val="00205DAD"/>
    <w:rsid w:val="002061F8"/>
    <w:rsid w:val="00213A76"/>
    <w:rsid w:val="00214B7E"/>
    <w:rsid w:val="00214E7F"/>
    <w:rsid w:val="00214EB8"/>
    <w:rsid w:val="0021510C"/>
    <w:rsid w:val="002159FD"/>
    <w:rsid w:val="002172FA"/>
    <w:rsid w:val="00222DEB"/>
    <w:rsid w:val="00224BE8"/>
    <w:rsid w:val="00224F28"/>
    <w:rsid w:val="00226819"/>
    <w:rsid w:val="0023032C"/>
    <w:rsid w:val="002310C8"/>
    <w:rsid w:val="00236E2B"/>
    <w:rsid w:val="00237E99"/>
    <w:rsid w:val="002416B5"/>
    <w:rsid w:val="00241939"/>
    <w:rsid w:val="00243C4C"/>
    <w:rsid w:val="0024424A"/>
    <w:rsid w:val="00247F03"/>
    <w:rsid w:val="0025204C"/>
    <w:rsid w:val="00254E4A"/>
    <w:rsid w:val="00255425"/>
    <w:rsid w:val="00256D94"/>
    <w:rsid w:val="002572CD"/>
    <w:rsid w:val="002624CD"/>
    <w:rsid w:val="00265354"/>
    <w:rsid w:val="00267CCD"/>
    <w:rsid w:val="00280FBE"/>
    <w:rsid w:val="0028243C"/>
    <w:rsid w:val="0028629F"/>
    <w:rsid w:val="002879B1"/>
    <w:rsid w:val="00290985"/>
    <w:rsid w:val="00293D0C"/>
    <w:rsid w:val="00294577"/>
    <w:rsid w:val="00296DC6"/>
    <w:rsid w:val="0029718B"/>
    <w:rsid w:val="002977E5"/>
    <w:rsid w:val="002A0CF7"/>
    <w:rsid w:val="002A1288"/>
    <w:rsid w:val="002A204C"/>
    <w:rsid w:val="002A7891"/>
    <w:rsid w:val="002B28AB"/>
    <w:rsid w:val="002B32C0"/>
    <w:rsid w:val="002B33DA"/>
    <w:rsid w:val="002B3CBE"/>
    <w:rsid w:val="002B5A78"/>
    <w:rsid w:val="002C25A9"/>
    <w:rsid w:val="002C2AF2"/>
    <w:rsid w:val="002C2FB3"/>
    <w:rsid w:val="002C47F9"/>
    <w:rsid w:val="002C4899"/>
    <w:rsid w:val="002C499A"/>
    <w:rsid w:val="002D04B7"/>
    <w:rsid w:val="002D1F16"/>
    <w:rsid w:val="002D4C3D"/>
    <w:rsid w:val="002D5D72"/>
    <w:rsid w:val="002D7158"/>
    <w:rsid w:val="002E0307"/>
    <w:rsid w:val="002E124A"/>
    <w:rsid w:val="002E4614"/>
    <w:rsid w:val="002E49A7"/>
    <w:rsid w:val="002E60A5"/>
    <w:rsid w:val="002E6D41"/>
    <w:rsid w:val="002E6F86"/>
    <w:rsid w:val="002E79B6"/>
    <w:rsid w:val="002F48C2"/>
    <w:rsid w:val="002F669C"/>
    <w:rsid w:val="002F6BD4"/>
    <w:rsid w:val="00300525"/>
    <w:rsid w:val="003013D5"/>
    <w:rsid w:val="00301984"/>
    <w:rsid w:val="003038EC"/>
    <w:rsid w:val="003038F0"/>
    <w:rsid w:val="00304122"/>
    <w:rsid w:val="0031088E"/>
    <w:rsid w:val="0031214D"/>
    <w:rsid w:val="003174C2"/>
    <w:rsid w:val="00317AB0"/>
    <w:rsid w:val="00320588"/>
    <w:rsid w:val="00322367"/>
    <w:rsid w:val="003240FB"/>
    <w:rsid w:val="00324751"/>
    <w:rsid w:val="0032740E"/>
    <w:rsid w:val="00327FA2"/>
    <w:rsid w:val="0033108F"/>
    <w:rsid w:val="003316A7"/>
    <w:rsid w:val="0033526F"/>
    <w:rsid w:val="00336C14"/>
    <w:rsid w:val="00340B6F"/>
    <w:rsid w:val="003419DD"/>
    <w:rsid w:val="003427BC"/>
    <w:rsid w:val="00345D2A"/>
    <w:rsid w:val="0034612A"/>
    <w:rsid w:val="00350490"/>
    <w:rsid w:val="00353639"/>
    <w:rsid w:val="00355F76"/>
    <w:rsid w:val="00357179"/>
    <w:rsid w:val="00360E6B"/>
    <w:rsid w:val="00364907"/>
    <w:rsid w:val="003712CC"/>
    <w:rsid w:val="00371330"/>
    <w:rsid w:val="00371862"/>
    <w:rsid w:val="00374D43"/>
    <w:rsid w:val="003817E0"/>
    <w:rsid w:val="003850DB"/>
    <w:rsid w:val="00393339"/>
    <w:rsid w:val="00394524"/>
    <w:rsid w:val="003A0C71"/>
    <w:rsid w:val="003A2C04"/>
    <w:rsid w:val="003A2C55"/>
    <w:rsid w:val="003A2CAA"/>
    <w:rsid w:val="003A3502"/>
    <w:rsid w:val="003A6551"/>
    <w:rsid w:val="003A784C"/>
    <w:rsid w:val="003B2072"/>
    <w:rsid w:val="003B25E9"/>
    <w:rsid w:val="003B28A0"/>
    <w:rsid w:val="003B51D4"/>
    <w:rsid w:val="003B5FA5"/>
    <w:rsid w:val="003B686E"/>
    <w:rsid w:val="003B732D"/>
    <w:rsid w:val="003C61C9"/>
    <w:rsid w:val="003C61E2"/>
    <w:rsid w:val="003D0447"/>
    <w:rsid w:val="003D04FB"/>
    <w:rsid w:val="003D066F"/>
    <w:rsid w:val="003D095D"/>
    <w:rsid w:val="003D1239"/>
    <w:rsid w:val="003D2A8B"/>
    <w:rsid w:val="003D3140"/>
    <w:rsid w:val="003D6767"/>
    <w:rsid w:val="003D70C5"/>
    <w:rsid w:val="003E111E"/>
    <w:rsid w:val="003E35AE"/>
    <w:rsid w:val="003E3ACE"/>
    <w:rsid w:val="003E53B5"/>
    <w:rsid w:val="003E5CF4"/>
    <w:rsid w:val="003F0539"/>
    <w:rsid w:val="003F793B"/>
    <w:rsid w:val="0040121E"/>
    <w:rsid w:val="00402F24"/>
    <w:rsid w:val="00403215"/>
    <w:rsid w:val="00403CFC"/>
    <w:rsid w:val="004051A9"/>
    <w:rsid w:val="0040698F"/>
    <w:rsid w:val="004139B8"/>
    <w:rsid w:val="00420BCD"/>
    <w:rsid w:val="00431426"/>
    <w:rsid w:val="00434E22"/>
    <w:rsid w:val="0043682E"/>
    <w:rsid w:val="00440764"/>
    <w:rsid w:val="00441388"/>
    <w:rsid w:val="0044762F"/>
    <w:rsid w:val="004532D2"/>
    <w:rsid w:val="004543E9"/>
    <w:rsid w:val="00454DBA"/>
    <w:rsid w:val="00456755"/>
    <w:rsid w:val="00456829"/>
    <w:rsid w:val="004568B3"/>
    <w:rsid w:val="00457D7D"/>
    <w:rsid w:val="00460986"/>
    <w:rsid w:val="0046106B"/>
    <w:rsid w:val="00461B91"/>
    <w:rsid w:val="0046252C"/>
    <w:rsid w:val="004647DB"/>
    <w:rsid w:val="00466A3F"/>
    <w:rsid w:val="004700CE"/>
    <w:rsid w:val="004703C8"/>
    <w:rsid w:val="0047065B"/>
    <w:rsid w:val="00471F65"/>
    <w:rsid w:val="00472E98"/>
    <w:rsid w:val="004733BA"/>
    <w:rsid w:val="00474726"/>
    <w:rsid w:val="00475F5D"/>
    <w:rsid w:val="0047609D"/>
    <w:rsid w:val="00482CAD"/>
    <w:rsid w:val="00486226"/>
    <w:rsid w:val="004908A7"/>
    <w:rsid w:val="004961AC"/>
    <w:rsid w:val="00497231"/>
    <w:rsid w:val="004A1E25"/>
    <w:rsid w:val="004A2488"/>
    <w:rsid w:val="004A3DF3"/>
    <w:rsid w:val="004B2CA0"/>
    <w:rsid w:val="004B4C48"/>
    <w:rsid w:val="004B4E73"/>
    <w:rsid w:val="004B5BA8"/>
    <w:rsid w:val="004B5F55"/>
    <w:rsid w:val="004B6819"/>
    <w:rsid w:val="004B7498"/>
    <w:rsid w:val="004C3E52"/>
    <w:rsid w:val="004C4F30"/>
    <w:rsid w:val="004C56A1"/>
    <w:rsid w:val="004D6314"/>
    <w:rsid w:val="004D6612"/>
    <w:rsid w:val="004D6BA0"/>
    <w:rsid w:val="004D7267"/>
    <w:rsid w:val="004F17DB"/>
    <w:rsid w:val="004F4659"/>
    <w:rsid w:val="004F4FC3"/>
    <w:rsid w:val="004F71C6"/>
    <w:rsid w:val="00500A7D"/>
    <w:rsid w:val="005021B2"/>
    <w:rsid w:val="00502F43"/>
    <w:rsid w:val="00504F9F"/>
    <w:rsid w:val="005063B9"/>
    <w:rsid w:val="005066D0"/>
    <w:rsid w:val="00513BD8"/>
    <w:rsid w:val="005215E2"/>
    <w:rsid w:val="00522F07"/>
    <w:rsid w:val="00523E4D"/>
    <w:rsid w:val="00526E01"/>
    <w:rsid w:val="00526FAF"/>
    <w:rsid w:val="00530071"/>
    <w:rsid w:val="00533678"/>
    <w:rsid w:val="00540972"/>
    <w:rsid w:val="0054363A"/>
    <w:rsid w:val="00550204"/>
    <w:rsid w:val="0055191C"/>
    <w:rsid w:val="00555857"/>
    <w:rsid w:val="00555C1E"/>
    <w:rsid w:val="0055730C"/>
    <w:rsid w:val="0056020C"/>
    <w:rsid w:val="00560C0D"/>
    <w:rsid w:val="00560E74"/>
    <w:rsid w:val="0056147B"/>
    <w:rsid w:val="0056233C"/>
    <w:rsid w:val="00564FB5"/>
    <w:rsid w:val="00565C79"/>
    <w:rsid w:val="0056788C"/>
    <w:rsid w:val="00567DA8"/>
    <w:rsid w:val="0057442A"/>
    <w:rsid w:val="00574918"/>
    <w:rsid w:val="00585B2B"/>
    <w:rsid w:val="005A12C4"/>
    <w:rsid w:val="005A1B08"/>
    <w:rsid w:val="005A1E40"/>
    <w:rsid w:val="005A2313"/>
    <w:rsid w:val="005A23CC"/>
    <w:rsid w:val="005A26AD"/>
    <w:rsid w:val="005A2FE5"/>
    <w:rsid w:val="005A457F"/>
    <w:rsid w:val="005A54C2"/>
    <w:rsid w:val="005A5BB0"/>
    <w:rsid w:val="005A5CBE"/>
    <w:rsid w:val="005A6357"/>
    <w:rsid w:val="005B08F4"/>
    <w:rsid w:val="005B19A5"/>
    <w:rsid w:val="005B3D44"/>
    <w:rsid w:val="005B67FD"/>
    <w:rsid w:val="005C1F96"/>
    <w:rsid w:val="005C3E13"/>
    <w:rsid w:val="005C4146"/>
    <w:rsid w:val="005D18D0"/>
    <w:rsid w:val="005D2481"/>
    <w:rsid w:val="005D4005"/>
    <w:rsid w:val="005D5874"/>
    <w:rsid w:val="005D6DEA"/>
    <w:rsid w:val="005D6E25"/>
    <w:rsid w:val="005D6FEE"/>
    <w:rsid w:val="005D714C"/>
    <w:rsid w:val="005F1334"/>
    <w:rsid w:val="005F181E"/>
    <w:rsid w:val="005F25A6"/>
    <w:rsid w:val="005F29A6"/>
    <w:rsid w:val="005F30C6"/>
    <w:rsid w:val="005F4A2E"/>
    <w:rsid w:val="005F6E53"/>
    <w:rsid w:val="00600A56"/>
    <w:rsid w:val="00604300"/>
    <w:rsid w:val="00604EB9"/>
    <w:rsid w:val="00606903"/>
    <w:rsid w:val="00607138"/>
    <w:rsid w:val="006103BA"/>
    <w:rsid w:val="00614EE2"/>
    <w:rsid w:val="0061647D"/>
    <w:rsid w:val="006202F5"/>
    <w:rsid w:val="006260CF"/>
    <w:rsid w:val="0062619C"/>
    <w:rsid w:val="006268A2"/>
    <w:rsid w:val="0063000E"/>
    <w:rsid w:val="00632FE6"/>
    <w:rsid w:val="006350E2"/>
    <w:rsid w:val="006371E2"/>
    <w:rsid w:val="00637487"/>
    <w:rsid w:val="006468DF"/>
    <w:rsid w:val="00651F3C"/>
    <w:rsid w:val="00653447"/>
    <w:rsid w:val="006564D2"/>
    <w:rsid w:val="00661263"/>
    <w:rsid w:val="00662E43"/>
    <w:rsid w:val="00663ADE"/>
    <w:rsid w:val="00667B88"/>
    <w:rsid w:val="0068077D"/>
    <w:rsid w:val="00681ED3"/>
    <w:rsid w:val="006827B0"/>
    <w:rsid w:val="006843F5"/>
    <w:rsid w:val="00687935"/>
    <w:rsid w:val="006956CE"/>
    <w:rsid w:val="00696899"/>
    <w:rsid w:val="006A66D1"/>
    <w:rsid w:val="006A6CB0"/>
    <w:rsid w:val="006A6D75"/>
    <w:rsid w:val="006B011D"/>
    <w:rsid w:val="006B0B8D"/>
    <w:rsid w:val="006B4BAA"/>
    <w:rsid w:val="006B783B"/>
    <w:rsid w:val="006C3E79"/>
    <w:rsid w:val="006C63BA"/>
    <w:rsid w:val="006D11F1"/>
    <w:rsid w:val="006D3476"/>
    <w:rsid w:val="006E005C"/>
    <w:rsid w:val="006E6878"/>
    <w:rsid w:val="006F2BE5"/>
    <w:rsid w:val="006F30E9"/>
    <w:rsid w:val="006F328B"/>
    <w:rsid w:val="006F4BCD"/>
    <w:rsid w:val="006F67B5"/>
    <w:rsid w:val="0070166B"/>
    <w:rsid w:val="00707E2D"/>
    <w:rsid w:val="00713587"/>
    <w:rsid w:val="00715F11"/>
    <w:rsid w:val="00720D55"/>
    <w:rsid w:val="00720EB6"/>
    <w:rsid w:val="007247E6"/>
    <w:rsid w:val="00725E57"/>
    <w:rsid w:val="0072655B"/>
    <w:rsid w:val="00727561"/>
    <w:rsid w:val="007275DD"/>
    <w:rsid w:val="00732985"/>
    <w:rsid w:val="00732D5B"/>
    <w:rsid w:val="007335F4"/>
    <w:rsid w:val="00736118"/>
    <w:rsid w:val="0074186B"/>
    <w:rsid w:val="00743524"/>
    <w:rsid w:val="007441D0"/>
    <w:rsid w:val="00744D39"/>
    <w:rsid w:val="00750F8F"/>
    <w:rsid w:val="0075390B"/>
    <w:rsid w:val="00753AF7"/>
    <w:rsid w:val="00755476"/>
    <w:rsid w:val="007556A8"/>
    <w:rsid w:val="00757E42"/>
    <w:rsid w:val="0076044B"/>
    <w:rsid w:val="007615BE"/>
    <w:rsid w:val="00761897"/>
    <w:rsid w:val="00762C3F"/>
    <w:rsid w:val="007675B2"/>
    <w:rsid w:val="0077258E"/>
    <w:rsid w:val="00781476"/>
    <w:rsid w:val="00781AB7"/>
    <w:rsid w:val="00783ADE"/>
    <w:rsid w:val="007859B0"/>
    <w:rsid w:val="00785CDE"/>
    <w:rsid w:val="00786C50"/>
    <w:rsid w:val="007876BB"/>
    <w:rsid w:val="007936E5"/>
    <w:rsid w:val="00794085"/>
    <w:rsid w:val="007A1553"/>
    <w:rsid w:val="007A378B"/>
    <w:rsid w:val="007A73E5"/>
    <w:rsid w:val="007B5AAF"/>
    <w:rsid w:val="007B642A"/>
    <w:rsid w:val="007C202D"/>
    <w:rsid w:val="007C4303"/>
    <w:rsid w:val="007C6D58"/>
    <w:rsid w:val="007D04FB"/>
    <w:rsid w:val="007D2B8C"/>
    <w:rsid w:val="007D5D55"/>
    <w:rsid w:val="007D67F4"/>
    <w:rsid w:val="007D7FB1"/>
    <w:rsid w:val="007E2870"/>
    <w:rsid w:val="007E3F3D"/>
    <w:rsid w:val="007E4699"/>
    <w:rsid w:val="007E51E4"/>
    <w:rsid w:val="007E5F4F"/>
    <w:rsid w:val="007E7548"/>
    <w:rsid w:val="007F1A36"/>
    <w:rsid w:val="007F22CF"/>
    <w:rsid w:val="007F590A"/>
    <w:rsid w:val="007F6A62"/>
    <w:rsid w:val="008018D1"/>
    <w:rsid w:val="00804770"/>
    <w:rsid w:val="0080510F"/>
    <w:rsid w:val="008069C9"/>
    <w:rsid w:val="00811923"/>
    <w:rsid w:val="008124B4"/>
    <w:rsid w:val="00813011"/>
    <w:rsid w:val="00815201"/>
    <w:rsid w:val="0081590B"/>
    <w:rsid w:val="00820757"/>
    <w:rsid w:val="0082105E"/>
    <w:rsid w:val="008211D6"/>
    <w:rsid w:val="00830596"/>
    <w:rsid w:val="00830675"/>
    <w:rsid w:val="0083646E"/>
    <w:rsid w:val="00841C58"/>
    <w:rsid w:val="00841FD8"/>
    <w:rsid w:val="0084666E"/>
    <w:rsid w:val="00854E09"/>
    <w:rsid w:val="00857E09"/>
    <w:rsid w:val="008650C1"/>
    <w:rsid w:val="008653AF"/>
    <w:rsid w:val="00867A2E"/>
    <w:rsid w:val="0087176B"/>
    <w:rsid w:val="00871B07"/>
    <w:rsid w:val="00876975"/>
    <w:rsid w:val="00876D97"/>
    <w:rsid w:val="00882403"/>
    <w:rsid w:val="00882B43"/>
    <w:rsid w:val="00883217"/>
    <w:rsid w:val="008925EB"/>
    <w:rsid w:val="008956E6"/>
    <w:rsid w:val="008957FE"/>
    <w:rsid w:val="008A0089"/>
    <w:rsid w:val="008A5420"/>
    <w:rsid w:val="008B2D03"/>
    <w:rsid w:val="008B3868"/>
    <w:rsid w:val="008B7A83"/>
    <w:rsid w:val="008C068D"/>
    <w:rsid w:val="008C1C70"/>
    <w:rsid w:val="008C28C8"/>
    <w:rsid w:val="008C6994"/>
    <w:rsid w:val="008D001E"/>
    <w:rsid w:val="008D4DD7"/>
    <w:rsid w:val="008E283D"/>
    <w:rsid w:val="008F62DA"/>
    <w:rsid w:val="00905FA3"/>
    <w:rsid w:val="00911907"/>
    <w:rsid w:val="009120C4"/>
    <w:rsid w:val="00921D88"/>
    <w:rsid w:val="00922626"/>
    <w:rsid w:val="00924EE8"/>
    <w:rsid w:val="0093030E"/>
    <w:rsid w:val="009313D7"/>
    <w:rsid w:val="00932240"/>
    <w:rsid w:val="009323D9"/>
    <w:rsid w:val="00936237"/>
    <w:rsid w:val="009378F4"/>
    <w:rsid w:val="00944020"/>
    <w:rsid w:val="00946409"/>
    <w:rsid w:val="00947655"/>
    <w:rsid w:val="00951E5E"/>
    <w:rsid w:val="00956CB5"/>
    <w:rsid w:val="00962238"/>
    <w:rsid w:val="0096228B"/>
    <w:rsid w:val="0097137F"/>
    <w:rsid w:val="00980E9B"/>
    <w:rsid w:val="009831DB"/>
    <w:rsid w:val="00987D20"/>
    <w:rsid w:val="00991014"/>
    <w:rsid w:val="009929A1"/>
    <w:rsid w:val="0099745A"/>
    <w:rsid w:val="00997610"/>
    <w:rsid w:val="009A02D5"/>
    <w:rsid w:val="009A4E72"/>
    <w:rsid w:val="009A6420"/>
    <w:rsid w:val="009A7CE6"/>
    <w:rsid w:val="009B25D5"/>
    <w:rsid w:val="009B49F9"/>
    <w:rsid w:val="009B6017"/>
    <w:rsid w:val="009B64EE"/>
    <w:rsid w:val="009C03C7"/>
    <w:rsid w:val="009C2178"/>
    <w:rsid w:val="009C3CAE"/>
    <w:rsid w:val="009C4BC6"/>
    <w:rsid w:val="009C72C4"/>
    <w:rsid w:val="009D0AB8"/>
    <w:rsid w:val="009D2061"/>
    <w:rsid w:val="009D4E83"/>
    <w:rsid w:val="009E0E75"/>
    <w:rsid w:val="009E2DAD"/>
    <w:rsid w:val="009E3E16"/>
    <w:rsid w:val="009E6208"/>
    <w:rsid w:val="009E7148"/>
    <w:rsid w:val="009F1D0B"/>
    <w:rsid w:val="009F57DE"/>
    <w:rsid w:val="009F58A5"/>
    <w:rsid w:val="00A026AC"/>
    <w:rsid w:val="00A06D05"/>
    <w:rsid w:val="00A10B53"/>
    <w:rsid w:val="00A129EA"/>
    <w:rsid w:val="00A12A35"/>
    <w:rsid w:val="00A17338"/>
    <w:rsid w:val="00A17BCB"/>
    <w:rsid w:val="00A20321"/>
    <w:rsid w:val="00A2368B"/>
    <w:rsid w:val="00A23B0B"/>
    <w:rsid w:val="00A2464D"/>
    <w:rsid w:val="00A2547A"/>
    <w:rsid w:val="00A26652"/>
    <w:rsid w:val="00A32B7E"/>
    <w:rsid w:val="00A37E5C"/>
    <w:rsid w:val="00A414FA"/>
    <w:rsid w:val="00A426EC"/>
    <w:rsid w:val="00A46C26"/>
    <w:rsid w:val="00A4797D"/>
    <w:rsid w:val="00A52462"/>
    <w:rsid w:val="00A60C24"/>
    <w:rsid w:val="00A648E2"/>
    <w:rsid w:val="00A6516E"/>
    <w:rsid w:val="00A722B7"/>
    <w:rsid w:val="00A81D45"/>
    <w:rsid w:val="00A87C26"/>
    <w:rsid w:val="00A90AC0"/>
    <w:rsid w:val="00A93475"/>
    <w:rsid w:val="00A94211"/>
    <w:rsid w:val="00A9455C"/>
    <w:rsid w:val="00A96D0C"/>
    <w:rsid w:val="00AA00DA"/>
    <w:rsid w:val="00AA4579"/>
    <w:rsid w:val="00AA60C2"/>
    <w:rsid w:val="00AB131C"/>
    <w:rsid w:val="00AB3487"/>
    <w:rsid w:val="00AB5150"/>
    <w:rsid w:val="00AB51CC"/>
    <w:rsid w:val="00AB59E5"/>
    <w:rsid w:val="00AB5D90"/>
    <w:rsid w:val="00AC35C2"/>
    <w:rsid w:val="00AC42A6"/>
    <w:rsid w:val="00AC5E97"/>
    <w:rsid w:val="00AC6961"/>
    <w:rsid w:val="00AC701D"/>
    <w:rsid w:val="00AD0D4F"/>
    <w:rsid w:val="00AD0E99"/>
    <w:rsid w:val="00AD11B2"/>
    <w:rsid w:val="00AD1771"/>
    <w:rsid w:val="00AD3A2A"/>
    <w:rsid w:val="00AD3DB2"/>
    <w:rsid w:val="00AE2225"/>
    <w:rsid w:val="00AE348F"/>
    <w:rsid w:val="00AE3F8E"/>
    <w:rsid w:val="00AE40B3"/>
    <w:rsid w:val="00AE511F"/>
    <w:rsid w:val="00AE610B"/>
    <w:rsid w:val="00AF068F"/>
    <w:rsid w:val="00AF4026"/>
    <w:rsid w:val="00AF501E"/>
    <w:rsid w:val="00AF6116"/>
    <w:rsid w:val="00B00DE4"/>
    <w:rsid w:val="00B01133"/>
    <w:rsid w:val="00B014B5"/>
    <w:rsid w:val="00B01AB4"/>
    <w:rsid w:val="00B02D9B"/>
    <w:rsid w:val="00B07B4D"/>
    <w:rsid w:val="00B07CB5"/>
    <w:rsid w:val="00B11568"/>
    <w:rsid w:val="00B12C7F"/>
    <w:rsid w:val="00B1335D"/>
    <w:rsid w:val="00B137EB"/>
    <w:rsid w:val="00B150C1"/>
    <w:rsid w:val="00B17890"/>
    <w:rsid w:val="00B2107D"/>
    <w:rsid w:val="00B212BB"/>
    <w:rsid w:val="00B236D6"/>
    <w:rsid w:val="00B23F1B"/>
    <w:rsid w:val="00B25D5A"/>
    <w:rsid w:val="00B27FA2"/>
    <w:rsid w:val="00B32C94"/>
    <w:rsid w:val="00B352DA"/>
    <w:rsid w:val="00B3725B"/>
    <w:rsid w:val="00B426B9"/>
    <w:rsid w:val="00B43CC8"/>
    <w:rsid w:val="00B62516"/>
    <w:rsid w:val="00B62641"/>
    <w:rsid w:val="00B64412"/>
    <w:rsid w:val="00B655B6"/>
    <w:rsid w:val="00B70B47"/>
    <w:rsid w:val="00B72397"/>
    <w:rsid w:val="00B7245F"/>
    <w:rsid w:val="00B76787"/>
    <w:rsid w:val="00B8036B"/>
    <w:rsid w:val="00B81922"/>
    <w:rsid w:val="00B822FD"/>
    <w:rsid w:val="00B839CB"/>
    <w:rsid w:val="00B86F1E"/>
    <w:rsid w:val="00B87045"/>
    <w:rsid w:val="00B90AE7"/>
    <w:rsid w:val="00B956D7"/>
    <w:rsid w:val="00B97BCA"/>
    <w:rsid w:val="00BA02CA"/>
    <w:rsid w:val="00BA0BB7"/>
    <w:rsid w:val="00BA349E"/>
    <w:rsid w:val="00BA52DE"/>
    <w:rsid w:val="00BB4A0D"/>
    <w:rsid w:val="00BB6D5A"/>
    <w:rsid w:val="00BC0593"/>
    <w:rsid w:val="00BC44EB"/>
    <w:rsid w:val="00BC4A06"/>
    <w:rsid w:val="00BD0AD9"/>
    <w:rsid w:val="00BD0CC5"/>
    <w:rsid w:val="00BD0D46"/>
    <w:rsid w:val="00BD2B4B"/>
    <w:rsid w:val="00BD5306"/>
    <w:rsid w:val="00BD7BFC"/>
    <w:rsid w:val="00BE14E8"/>
    <w:rsid w:val="00BE4651"/>
    <w:rsid w:val="00BF1161"/>
    <w:rsid w:val="00BF52C3"/>
    <w:rsid w:val="00C00B6D"/>
    <w:rsid w:val="00C020FB"/>
    <w:rsid w:val="00C03CD3"/>
    <w:rsid w:val="00C04B7F"/>
    <w:rsid w:val="00C05869"/>
    <w:rsid w:val="00C05A3A"/>
    <w:rsid w:val="00C11183"/>
    <w:rsid w:val="00C1144A"/>
    <w:rsid w:val="00C11C21"/>
    <w:rsid w:val="00C17E18"/>
    <w:rsid w:val="00C22F42"/>
    <w:rsid w:val="00C238D5"/>
    <w:rsid w:val="00C25B86"/>
    <w:rsid w:val="00C266C8"/>
    <w:rsid w:val="00C268A0"/>
    <w:rsid w:val="00C31D72"/>
    <w:rsid w:val="00C320BF"/>
    <w:rsid w:val="00C33C2B"/>
    <w:rsid w:val="00C34F96"/>
    <w:rsid w:val="00C36B33"/>
    <w:rsid w:val="00C4480A"/>
    <w:rsid w:val="00C45417"/>
    <w:rsid w:val="00C4551A"/>
    <w:rsid w:val="00C4617C"/>
    <w:rsid w:val="00C51217"/>
    <w:rsid w:val="00C51922"/>
    <w:rsid w:val="00C54A7A"/>
    <w:rsid w:val="00C55281"/>
    <w:rsid w:val="00C61175"/>
    <w:rsid w:val="00C616C9"/>
    <w:rsid w:val="00C623FA"/>
    <w:rsid w:val="00C67C36"/>
    <w:rsid w:val="00C83022"/>
    <w:rsid w:val="00C849A6"/>
    <w:rsid w:val="00C867DC"/>
    <w:rsid w:val="00C87E59"/>
    <w:rsid w:val="00C9436C"/>
    <w:rsid w:val="00C946A2"/>
    <w:rsid w:val="00C951C8"/>
    <w:rsid w:val="00CA1133"/>
    <w:rsid w:val="00CA158D"/>
    <w:rsid w:val="00CA1FE7"/>
    <w:rsid w:val="00CA294B"/>
    <w:rsid w:val="00CA6760"/>
    <w:rsid w:val="00CA7F8C"/>
    <w:rsid w:val="00CB61E1"/>
    <w:rsid w:val="00CC088B"/>
    <w:rsid w:val="00CC0DB0"/>
    <w:rsid w:val="00CC541F"/>
    <w:rsid w:val="00CC6763"/>
    <w:rsid w:val="00CD1500"/>
    <w:rsid w:val="00CD1643"/>
    <w:rsid w:val="00CD1982"/>
    <w:rsid w:val="00CD21E8"/>
    <w:rsid w:val="00CD2737"/>
    <w:rsid w:val="00CD49BD"/>
    <w:rsid w:val="00CD4D04"/>
    <w:rsid w:val="00CD6E43"/>
    <w:rsid w:val="00CD7A7E"/>
    <w:rsid w:val="00CE23CA"/>
    <w:rsid w:val="00CE3075"/>
    <w:rsid w:val="00CE4F65"/>
    <w:rsid w:val="00CF0F9D"/>
    <w:rsid w:val="00CF2F4B"/>
    <w:rsid w:val="00CF4209"/>
    <w:rsid w:val="00CF5DB2"/>
    <w:rsid w:val="00CF5F8B"/>
    <w:rsid w:val="00CF730E"/>
    <w:rsid w:val="00D02743"/>
    <w:rsid w:val="00D032B4"/>
    <w:rsid w:val="00D07B6B"/>
    <w:rsid w:val="00D10DAA"/>
    <w:rsid w:val="00D14F00"/>
    <w:rsid w:val="00D215F3"/>
    <w:rsid w:val="00D22CE6"/>
    <w:rsid w:val="00D25821"/>
    <w:rsid w:val="00D26A0E"/>
    <w:rsid w:val="00D271EF"/>
    <w:rsid w:val="00D27EFD"/>
    <w:rsid w:val="00D327AB"/>
    <w:rsid w:val="00D364F6"/>
    <w:rsid w:val="00D3755B"/>
    <w:rsid w:val="00D43A8F"/>
    <w:rsid w:val="00D51B9A"/>
    <w:rsid w:val="00D52518"/>
    <w:rsid w:val="00D54A75"/>
    <w:rsid w:val="00D603F4"/>
    <w:rsid w:val="00D626C8"/>
    <w:rsid w:val="00D6431F"/>
    <w:rsid w:val="00D73F7C"/>
    <w:rsid w:val="00D74EE3"/>
    <w:rsid w:val="00D7716C"/>
    <w:rsid w:val="00D80DDE"/>
    <w:rsid w:val="00D827EB"/>
    <w:rsid w:val="00D83149"/>
    <w:rsid w:val="00D83A80"/>
    <w:rsid w:val="00D84BC9"/>
    <w:rsid w:val="00D9344E"/>
    <w:rsid w:val="00D94C96"/>
    <w:rsid w:val="00D97ADA"/>
    <w:rsid w:val="00DA21D1"/>
    <w:rsid w:val="00DA601F"/>
    <w:rsid w:val="00DA6382"/>
    <w:rsid w:val="00DA6C87"/>
    <w:rsid w:val="00DB0084"/>
    <w:rsid w:val="00DB169F"/>
    <w:rsid w:val="00DB1F32"/>
    <w:rsid w:val="00DB4FE8"/>
    <w:rsid w:val="00DB65D3"/>
    <w:rsid w:val="00DD096A"/>
    <w:rsid w:val="00DD4E1D"/>
    <w:rsid w:val="00DD4F90"/>
    <w:rsid w:val="00DD6680"/>
    <w:rsid w:val="00DE4531"/>
    <w:rsid w:val="00DE64D4"/>
    <w:rsid w:val="00DE70BB"/>
    <w:rsid w:val="00DE76B3"/>
    <w:rsid w:val="00DF3363"/>
    <w:rsid w:val="00DF78A1"/>
    <w:rsid w:val="00E05BC1"/>
    <w:rsid w:val="00E07C8D"/>
    <w:rsid w:val="00E12718"/>
    <w:rsid w:val="00E1532A"/>
    <w:rsid w:val="00E15504"/>
    <w:rsid w:val="00E16122"/>
    <w:rsid w:val="00E161E4"/>
    <w:rsid w:val="00E20A5D"/>
    <w:rsid w:val="00E2195E"/>
    <w:rsid w:val="00E227AA"/>
    <w:rsid w:val="00E265A7"/>
    <w:rsid w:val="00E35A4D"/>
    <w:rsid w:val="00E36584"/>
    <w:rsid w:val="00E369CD"/>
    <w:rsid w:val="00E40D87"/>
    <w:rsid w:val="00E40E8C"/>
    <w:rsid w:val="00E41242"/>
    <w:rsid w:val="00E431D8"/>
    <w:rsid w:val="00E43A84"/>
    <w:rsid w:val="00E525F4"/>
    <w:rsid w:val="00E61511"/>
    <w:rsid w:val="00E65839"/>
    <w:rsid w:val="00E65B67"/>
    <w:rsid w:val="00E707B2"/>
    <w:rsid w:val="00E72408"/>
    <w:rsid w:val="00E72C2C"/>
    <w:rsid w:val="00E75364"/>
    <w:rsid w:val="00E860FE"/>
    <w:rsid w:val="00E866C8"/>
    <w:rsid w:val="00E93815"/>
    <w:rsid w:val="00E96C8D"/>
    <w:rsid w:val="00E97B37"/>
    <w:rsid w:val="00EA110B"/>
    <w:rsid w:val="00EA15D1"/>
    <w:rsid w:val="00EA1B37"/>
    <w:rsid w:val="00EA3ACD"/>
    <w:rsid w:val="00EA5CD7"/>
    <w:rsid w:val="00EA7D25"/>
    <w:rsid w:val="00EB05B1"/>
    <w:rsid w:val="00EB67D3"/>
    <w:rsid w:val="00EB74C8"/>
    <w:rsid w:val="00EC14DA"/>
    <w:rsid w:val="00EC3B8E"/>
    <w:rsid w:val="00ED2CBF"/>
    <w:rsid w:val="00ED2F64"/>
    <w:rsid w:val="00ED43D3"/>
    <w:rsid w:val="00ED4665"/>
    <w:rsid w:val="00ED483E"/>
    <w:rsid w:val="00EE36F1"/>
    <w:rsid w:val="00EE4903"/>
    <w:rsid w:val="00EE552E"/>
    <w:rsid w:val="00EF18EE"/>
    <w:rsid w:val="00EF19E7"/>
    <w:rsid w:val="00EF25DC"/>
    <w:rsid w:val="00EF3254"/>
    <w:rsid w:val="00EF41CC"/>
    <w:rsid w:val="00F01D74"/>
    <w:rsid w:val="00F03BEE"/>
    <w:rsid w:val="00F04D1D"/>
    <w:rsid w:val="00F05C7F"/>
    <w:rsid w:val="00F0719C"/>
    <w:rsid w:val="00F07D18"/>
    <w:rsid w:val="00F1177B"/>
    <w:rsid w:val="00F13AFF"/>
    <w:rsid w:val="00F142C9"/>
    <w:rsid w:val="00F17A4A"/>
    <w:rsid w:val="00F201E2"/>
    <w:rsid w:val="00F21249"/>
    <w:rsid w:val="00F249F0"/>
    <w:rsid w:val="00F254E7"/>
    <w:rsid w:val="00F25A92"/>
    <w:rsid w:val="00F263F3"/>
    <w:rsid w:val="00F27483"/>
    <w:rsid w:val="00F30B48"/>
    <w:rsid w:val="00F334C9"/>
    <w:rsid w:val="00F33590"/>
    <w:rsid w:val="00F354E2"/>
    <w:rsid w:val="00F3630D"/>
    <w:rsid w:val="00F36E64"/>
    <w:rsid w:val="00F37AC4"/>
    <w:rsid w:val="00F406E4"/>
    <w:rsid w:val="00F4234D"/>
    <w:rsid w:val="00F43B5B"/>
    <w:rsid w:val="00F44361"/>
    <w:rsid w:val="00F476B7"/>
    <w:rsid w:val="00F5043B"/>
    <w:rsid w:val="00F52D1A"/>
    <w:rsid w:val="00F54CFD"/>
    <w:rsid w:val="00F65CD4"/>
    <w:rsid w:val="00F66A27"/>
    <w:rsid w:val="00F67452"/>
    <w:rsid w:val="00F675E2"/>
    <w:rsid w:val="00F67DB6"/>
    <w:rsid w:val="00F7128D"/>
    <w:rsid w:val="00F768F7"/>
    <w:rsid w:val="00F8024E"/>
    <w:rsid w:val="00F822B0"/>
    <w:rsid w:val="00F83A06"/>
    <w:rsid w:val="00F93A29"/>
    <w:rsid w:val="00FA0793"/>
    <w:rsid w:val="00FA1154"/>
    <w:rsid w:val="00FA3040"/>
    <w:rsid w:val="00FA49F0"/>
    <w:rsid w:val="00FA5638"/>
    <w:rsid w:val="00FB465F"/>
    <w:rsid w:val="00FB4F14"/>
    <w:rsid w:val="00FB5AD8"/>
    <w:rsid w:val="00FB635D"/>
    <w:rsid w:val="00FB6965"/>
    <w:rsid w:val="00FC17A0"/>
    <w:rsid w:val="00FC75AE"/>
    <w:rsid w:val="00FE051E"/>
    <w:rsid w:val="00FE2C2C"/>
    <w:rsid w:val="00FE30B0"/>
    <w:rsid w:val="00FE3308"/>
    <w:rsid w:val="00FE5AAC"/>
    <w:rsid w:val="00FE7516"/>
    <w:rsid w:val="00FF01D0"/>
    <w:rsid w:val="00FF12C8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F9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9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1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61E4-1AEB-4B71-A064-6B545486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8430</Words>
  <Characters>50586</Characters>
  <Application>Microsoft Office Word</Application>
  <DocSecurity>0</DocSecurity>
  <Lines>421</Lines>
  <Paragraphs>117</Paragraphs>
  <ScaleCrop>false</ScaleCrop>
  <Company/>
  <LinksUpToDate>false</LinksUpToDate>
  <CharactersWithSpaces>58899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2025-06-03T12:30:00Z</dcterms:created>
  <dcterms:modified xsi:type="dcterms:W3CDTF">2025-06-03T12:31:00Z</dcterms:modified>
</cp:coreProperties>
</file>