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7F0C" w14:textId="733F9505" w:rsidR="00CF49E6" w:rsidRPr="008B3B83" w:rsidRDefault="007720F5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Nieuczciwe praktyki</w:t>
      </w:r>
      <w:r w:rsidR="00CD41ED">
        <w:rPr>
          <w:color w:val="000000" w:themeColor="text1"/>
          <w:sz w:val="32"/>
          <w:szCs w:val="32"/>
        </w:rPr>
        <w:t xml:space="preserve"> na pokazach</w:t>
      </w:r>
      <w:r w:rsidR="006B3270">
        <w:rPr>
          <w:color w:val="000000" w:themeColor="text1"/>
          <w:sz w:val="32"/>
          <w:szCs w:val="32"/>
        </w:rPr>
        <w:t xml:space="preserve"> – dwie decyzje Prezesa UOKiK</w:t>
      </w:r>
    </w:p>
    <w:p w14:paraId="0D2B8CF9" w14:textId="77777777" w:rsidR="006B3270" w:rsidRPr="006B3270" w:rsidRDefault="006B3270" w:rsidP="006B3270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B3270">
        <w:rPr>
          <w:rFonts w:cs="Tahoma"/>
          <w:b/>
          <w:bCs/>
          <w:color w:val="000000" w:themeColor="text1"/>
          <w:sz w:val="22"/>
          <w:lang w:eastAsia="en-GB"/>
        </w:rPr>
        <w:t>Konsumenci byli zapraszani na spotkania pod fałszywym pretekstem, wprowadzani w błąd odnośnie nagród i odstąpienia od umowy, a ich pieniądze nie były zwracane.</w:t>
      </w:r>
    </w:p>
    <w:p w14:paraId="1B2C54C7" w14:textId="77777777" w:rsidR="006B3270" w:rsidRPr="006B3270" w:rsidRDefault="006B3270" w:rsidP="006B3270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B3270">
        <w:rPr>
          <w:rFonts w:cs="Tahoma"/>
          <w:b/>
          <w:bCs/>
          <w:color w:val="000000" w:themeColor="text1"/>
          <w:sz w:val="22"/>
          <w:lang w:eastAsia="en-GB"/>
        </w:rPr>
        <w:t xml:space="preserve">Tak działały firmy Med Professional i Medical Factory, organizujące pokazy handlowe w całym kraju. </w:t>
      </w:r>
    </w:p>
    <w:p w14:paraId="0834B953" w14:textId="7D304EB0" w:rsidR="006B3270" w:rsidRPr="006B3270" w:rsidRDefault="006B3270" w:rsidP="006B3270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6B3270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ponad 700 tys. zł. kary na każdą ze spółek i </w:t>
      </w:r>
      <w:r w:rsidR="004C321E">
        <w:rPr>
          <w:rFonts w:cs="Tahoma"/>
          <w:b/>
          <w:bCs/>
          <w:color w:val="000000" w:themeColor="text1"/>
          <w:sz w:val="22"/>
          <w:lang w:eastAsia="en-GB"/>
        </w:rPr>
        <w:t xml:space="preserve">łącznie </w:t>
      </w:r>
      <w:r w:rsidRPr="006B3270">
        <w:rPr>
          <w:rFonts w:cs="Tahoma"/>
          <w:b/>
          <w:bCs/>
          <w:color w:val="000000" w:themeColor="text1"/>
          <w:sz w:val="22"/>
          <w:lang w:eastAsia="en-GB"/>
        </w:rPr>
        <w:t xml:space="preserve">pół miliona złotych na </w:t>
      </w:r>
      <w:r w:rsidR="00F23E31">
        <w:rPr>
          <w:rFonts w:cs="Tahoma"/>
          <w:b/>
          <w:bCs/>
          <w:color w:val="000000" w:themeColor="text1"/>
          <w:sz w:val="22"/>
          <w:lang w:eastAsia="en-GB"/>
        </w:rPr>
        <w:t xml:space="preserve">osobę zarządzającą obiema firmami. </w:t>
      </w:r>
      <w:r w:rsidRPr="006B3270">
        <w:rPr>
          <w:rFonts w:cs="Tahoma"/>
          <w:b/>
          <w:bCs/>
          <w:color w:val="000000" w:themeColor="text1"/>
          <w:sz w:val="22"/>
          <w:lang w:eastAsia="en-GB"/>
        </w:rPr>
        <w:t xml:space="preserve">  </w:t>
      </w:r>
    </w:p>
    <w:bookmarkEnd w:id="0"/>
    <w:p w14:paraId="2DCCC703" w14:textId="51C9C3B6" w:rsidR="006B3270" w:rsidRDefault="00602507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975D50">
        <w:rPr>
          <w:b/>
          <w:color w:val="000000" w:themeColor="text1"/>
          <w:sz w:val="22"/>
        </w:rPr>
        <w:t>5</w:t>
      </w:r>
      <w:r>
        <w:rPr>
          <w:b/>
          <w:color w:val="000000" w:themeColor="text1"/>
          <w:sz w:val="22"/>
        </w:rPr>
        <w:t xml:space="preserve"> </w:t>
      </w:r>
      <w:r w:rsidR="00975D50">
        <w:rPr>
          <w:b/>
          <w:color w:val="000000" w:themeColor="text1"/>
          <w:sz w:val="22"/>
        </w:rPr>
        <w:t>lutego</w:t>
      </w:r>
      <w:r w:rsidRPr="00DB3985">
        <w:rPr>
          <w:b/>
          <w:color w:val="000000" w:themeColor="text1"/>
          <w:sz w:val="22"/>
        </w:rPr>
        <w:t xml:space="preserve"> 202</w:t>
      </w:r>
      <w:r w:rsidR="00BE7E89">
        <w:rPr>
          <w:b/>
          <w:color w:val="000000" w:themeColor="text1"/>
          <w:sz w:val="22"/>
        </w:rPr>
        <w:t>5</w:t>
      </w:r>
      <w:r w:rsidRPr="00DB3985">
        <w:rPr>
          <w:b/>
          <w:color w:val="000000" w:themeColor="text1"/>
          <w:sz w:val="22"/>
        </w:rPr>
        <w:t xml:space="preserve"> r.]</w:t>
      </w:r>
      <w:r w:rsidR="005F3269">
        <w:rPr>
          <w:color w:val="000000" w:themeColor="text1"/>
          <w:sz w:val="22"/>
        </w:rPr>
        <w:t xml:space="preserve"> 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Akcje społeczne mające na celu ratowanie miejsc pracy, spotkania wspierające polską gospodarkę, działania przybliżające znajomość polskich marek lub wydarzenia z okazji promocji nowej sieci sklepów AGD i RTV. Wachlarz nieprawdziwych pretekstów</w:t>
      </w:r>
      <w:r w:rsidR="009D59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pod jakimi firma Med Professional z Wysogotowa zapraszała na organizowane przez siebie </w:t>
      </w:r>
      <w:r w:rsidR="007720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całym kraju 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pokazy handlowe</w:t>
      </w:r>
      <w:r w:rsidR="009D59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7720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był szeroki. Telemarketerzy dzwoniący na zlecenie spółki bezpodstawnie wzmacniali swój przekaz</w:t>
      </w:r>
      <w:r w:rsidR="009D59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powołując się na Fundację Reklamy Społecznej lub Ogólnopolską Akcję Polska Przedsiębiorcom. </w:t>
      </w:r>
      <w:r w:rsidR="007D704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Umawiali </w:t>
      </w:r>
      <w:r w:rsidR="00C32AC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konsumentów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po odbiór </w:t>
      </w:r>
      <w:r w:rsidR="007D704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prezentów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: np. tabletu, laptopa, telewizora. Również w trakcie trwającego pokazu wprowadzali uczestników w błąd</w:t>
      </w:r>
      <w:r w:rsidR="009D59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sugerując, że dostaną upominki, że zostali wyłonieni w loterii albo wytypowani do nagrody specjalnej i trafi do nich mata masująca czy robot kuchenny. W rzeczywistości warunkiem otrzymania czegokolwiek </w:t>
      </w:r>
      <w:r w:rsidR="007720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był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zakup któregoś z prezentowanych produktów, po znacznie zawyżonej cenie. </w:t>
      </w:r>
    </w:p>
    <w:p w14:paraId="23FB8679" w14:textId="6C4716ED" w:rsidR="006B3270" w:rsidRDefault="006B3270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Podobnie działała inna</w:t>
      </w:r>
      <w:r w:rsidR="00CF539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firma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zarządzana przez tę samą osobę – Medical Factory z Wysogotowa. Konsumenci otrzymywali zaproszenie na </w:t>
      </w:r>
      <w:r w:rsidRPr="00BE4FF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bezpłatne badania wzroku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lub spotkanie, </w:t>
      </w:r>
      <w:r w:rsidRPr="00BE4FF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m.in. po odbiór telewizora, tabletu czy laptopa będących np. formą promocji </w:t>
      </w:r>
      <w:r w:rsidR="007720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rzekomo </w:t>
      </w:r>
      <w:r w:rsidR="007720F5" w:rsidRPr="00BE4FF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nowo</w:t>
      </w:r>
      <w:r w:rsidR="007720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otwartej</w:t>
      </w:r>
      <w:r w:rsidRPr="00BE4FF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firmy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 W rzeczywistości były to pokazy handlowe</w:t>
      </w:r>
      <w:r w:rsidR="007720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- badania nie były przeprowadzane, a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upominki nie zawsze odpowiadały zapewnieniom (np. zamiast laptopa wręczano zabawkę dla dzieci - tablet z rysikiem)</w:t>
      </w:r>
      <w:r w:rsidR="00D905A6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</w:p>
    <w:p w14:paraId="03629545" w14:textId="7F0F17B6" w:rsidR="006B3270" w:rsidRDefault="00975D50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975D5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Prezes UOKiK Tomasz Chróstny wydał dwie decyzje, w których nałożył na obie spółki oraz osobę, która nimi zarządzała łącznie prawie dwa miliony złotych kary.</w:t>
      </w:r>
    </w:p>
    <w:p w14:paraId="1273BA79" w14:textId="77777777" w:rsidR="00E53E86" w:rsidRDefault="00E53E86" w:rsidP="006B3270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</w:p>
    <w:p w14:paraId="3ED85F92" w14:textId="77777777" w:rsidR="00E53E86" w:rsidRDefault="00E53E86" w:rsidP="006B3270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</w:p>
    <w:p w14:paraId="78052C37" w14:textId="7CC579A3" w:rsidR="006B3270" w:rsidRPr="00982CD9" w:rsidRDefault="006B3270" w:rsidP="006B3270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bookmarkStart w:id="1" w:name="_GoBack"/>
      <w:bookmarkEnd w:id="1"/>
      <w:r w:rsidRPr="00982CD9">
        <w:rPr>
          <w:rStyle w:val="Pogrubienie"/>
          <w:rFonts w:cs="Tahoma"/>
          <w:color w:val="000000"/>
          <w:sz w:val="22"/>
          <w:shd w:val="clear" w:color="auto" w:fill="FFFFFF"/>
        </w:rPr>
        <w:lastRenderedPageBreak/>
        <w:t>L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oteryjna pułapka i inne sztuczki </w:t>
      </w:r>
    </w:p>
    <w:p w14:paraId="760A7C41" w14:textId="2DF8B6C8" w:rsidR="00975D50" w:rsidRPr="00975D50" w:rsidRDefault="006B3270" w:rsidP="00975D50">
      <w:pPr>
        <w:pStyle w:val="s11"/>
        <w:spacing w:before="0" w:beforeAutospacing="0" w:after="180" w:afterAutospacing="0" w:line="360" w:lineRule="auto"/>
        <w:jc w:val="both"/>
        <w:rPr>
          <w:rFonts w:ascii="Trebuchet MS" w:hAnsi="Trebuchet MS"/>
          <w:color w:val="000000"/>
        </w:rPr>
      </w:pPr>
      <w:r w:rsidRPr="00975D50">
        <w:rPr>
          <w:rStyle w:val="Pogrubienie"/>
          <w:rFonts w:ascii="Trebuchet MS" w:hAnsi="Trebuchet MS" w:cs="Tahoma"/>
          <w:b w:val="0"/>
          <w:color w:val="000000"/>
          <w:shd w:val="clear" w:color="auto" w:fill="FFFFFF"/>
        </w:rPr>
        <w:t>-</w:t>
      </w:r>
      <w:r w:rsidR="00975D50" w:rsidRPr="00975D50">
        <w:rPr>
          <w:rStyle w:val="Pogrubienie"/>
          <w:rFonts w:ascii="Trebuchet MS" w:hAnsi="Trebuchet MS" w:cs="Tahoma"/>
          <w:b w:val="0"/>
          <w:color w:val="000000"/>
          <w:shd w:val="clear" w:color="auto" w:fill="FFFFFF"/>
        </w:rPr>
        <w:t xml:space="preserve"> </w:t>
      </w:r>
      <w:r w:rsidR="00975D50" w:rsidRPr="00975D50">
        <w:rPr>
          <w:rStyle w:val="bumpedfont15"/>
          <w:rFonts w:ascii="Trebuchet MS" w:hAnsi="Trebuchet MS"/>
          <w:iCs/>
          <w:color w:val="000000"/>
          <w:shd w:val="clear" w:color="auto" w:fill="FFFFFF"/>
        </w:rPr>
        <w:t>Konsumentom trudno zorientować się, że wbrew informacjom telefonicznym, spotkania mają charakter pokazu handlowego nakierowanego wyłącznie na sprzedaż towarów znajdujących się w aktualnej ofercie spółki.</w:t>
      </w:r>
      <w:r w:rsidR="00975D50" w:rsidRPr="00975D50">
        <w:rPr>
          <w:rStyle w:val="bumpedfont15"/>
          <w:rFonts w:ascii="Trebuchet MS" w:hAnsi="Trebuchet MS"/>
          <w:iCs/>
          <w:color w:val="000000"/>
          <w:shd w:val="clear" w:color="auto" w:fill="FFFFFF"/>
        </w:rPr>
        <w:t xml:space="preserve"> </w:t>
      </w:r>
      <w:r w:rsidR="00975D50" w:rsidRPr="00975D50">
        <w:rPr>
          <w:rStyle w:val="bumpedfont15"/>
          <w:rFonts w:ascii="Trebuchet MS" w:hAnsi="Trebuchet MS"/>
          <w:iCs/>
          <w:color w:val="000000"/>
          <w:shd w:val="clear" w:color="auto" w:fill="FFFFFF"/>
        </w:rPr>
        <w:t>Tymczasem, </w:t>
      </w:r>
      <w:r w:rsidR="00975D50" w:rsidRPr="00975D50">
        <w:rPr>
          <w:rStyle w:val="bumpedfont15"/>
          <w:rFonts w:ascii="Trebuchet MS" w:hAnsi="Trebuchet MS"/>
          <w:color w:val="000000"/>
          <w:shd w:val="clear" w:color="auto" w:fill="FFFFFF"/>
        </w:rPr>
        <w:t>p</w:t>
      </w:r>
      <w:r w:rsidR="00975D50" w:rsidRPr="00975D50">
        <w:rPr>
          <w:rStyle w:val="bumpedfont15"/>
          <w:rFonts w:ascii="Trebuchet MS" w:hAnsi="Trebuchet MS"/>
          <w:iCs/>
          <w:color w:val="000000"/>
          <w:shd w:val="clear" w:color="auto" w:fill="FFFFFF"/>
        </w:rPr>
        <w:t>rzedsiębiorcy mają obowiązek dostarczyć konsumentom jasnej, rzetelnej informacji i nie mogą wprowadzać w błąd co do prawdziwego celu zaproszeń – </w:t>
      </w:r>
      <w:r w:rsidR="00975D50" w:rsidRPr="00975D50">
        <w:rPr>
          <w:rStyle w:val="bumpedfont15"/>
          <w:rFonts w:ascii="Trebuchet MS" w:hAnsi="Trebuchet MS"/>
          <w:color w:val="000000"/>
          <w:shd w:val="clear" w:color="auto" w:fill="FFFFFF"/>
        </w:rPr>
        <w:t>mówi Prezes UOKiK Tomasz Chróstny.</w:t>
      </w:r>
    </w:p>
    <w:p w14:paraId="77381519" w14:textId="7E476693" w:rsidR="006B3270" w:rsidRDefault="006B3270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Spółki wykorzystywały różne techniki manipulacyjne. Istotny był element zaskoczenia, stworzenia poczucia bycia wybranym, a nawet posiadania wpływu na rzekome nagrody np. wybór ich koloru. Podczas pokazów na konsumentach wymuszany był pośpiech </w:t>
      </w:r>
      <w:r w:rsidR="00AA27A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przy podejmowaniu decyzji zakupowych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pomimo że nie dosta</w:t>
      </w:r>
      <w:r w:rsidR="00AA27A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wal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 konkretnych i prawdziwych informacji</w:t>
      </w:r>
      <w:r w:rsidR="009D59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na co się godzą i co w rzeczywistości podpisują. </w:t>
      </w:r>
    </w:p>
    <w:p w14:paraId="36F9B6FF" w14:textId="6A9C0B4B" w:rsidR="00B24D5B" w:rsidRDefault="006B3270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jednej ze skarg czytamy </w:t>
      </w:r>
      <w:r w:rsidRPr="00A65E9F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„</w:t>
      </w:r>
      <w:r w:rsidR="00B24D5B">
        <w:rPr>
          <w:i/>
          <w:iCs/>
          <w:sz w:val="22"/>
        </w:rPr>
        <w:t>Do zawarcia umowy doszło w wyniku losowania kremów i nagrody specjalnej, którą ja wraz z żoną wylosowałem. Rzekomo wylosowaliśmy wszystkie artykuły znajdujące się na stole, ale nie mówili, że mam za to zapłacić. Euforia związana z wylosowaniem nagrody zwłaszcza maty masującej spowodowała brak czujności i zgodę na wpłatę 50 zł, a dopiero po powrocie do domu wyczytałem z 1 egz. dokumentu umowy jaki otrzymałem, że za to zapłacę ok. 10000 zł w ratach mimo, że umowy kredytowej nie otrzymałem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” </w:t>
      </w:r>
      <w:r w:rsidRPr="007E4B8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(skarga na Med Professional).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</w:p>
    <w:p w14:paraId="19E2A457" w14:textId="6608E01F" w:rsidR="006B3270" w:rsidRPr="00982CD9" w:rsidRDefault="006B3270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 kolejnej: </w:t>
      </w:r>
      <w:r w:rsidRPr="007E4B8A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„W trakcie pokazu otrzymałam wiadomość, że „wylosowałam” i „wygrałam matę masującą (podano wartość 11900 zł) oraz 3 prezenty: odkurzacz bezprzewodowy, oczyszczacz powietrza i pas bezprzewodowy. Poproszono mnie o dowód osobisty i legitymację emeryta. Byłam zaaferowana wygraną. Byłam w amoku, jeszcze nigdy nic nie wygrałam. Pan był bardzo miły. Nie wiedziałam jaką grę prowadzi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” </w:t>
      </w:r>
      <w:r w:rsidRPr="007E4B8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(skarga na Medical Factory).</w:t>
      </w:r>
    </w:p>
    <w:p w14:paraId="26C74CD0" w14:textId="77777777" w:rsidR="006B3270" w:rsidRPr="00633524" w:rsidRDefault="006B3270" w:rsidP="006B3270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Rezygnacja? Mamy problem</w:t>
      </w:r>
    </w:p>
    <w:p w14:paraId="0EB12280" w14:textId="77777777" w:rsidR="002132B9" w:rsidRDefault="006B3270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Spółki </w:t>
      </w:r>
      <w:r w:rsidRPr="002F1CE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wprowadza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ły</w:t>
      </w:r>
      <w:r w:rsidRPr="002F1CEA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w błąd także w zakresie prawa do odstąpienia od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zawartej umowy. Konsumenci, którzy chcieli zrezygnować z zakupu</w:t>
      </w:r>
      <w:r w:rsidR="009D593E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dowiadywali się, że mogą jedynie zawrzeć aneks obniżający kwotę do zapłaty i zwrócić tylko część towarów. Czasami nie otrzymywali żadnego wytłumaczenia, dlaczego zwrot nie jest możliwy, a innym razem byli informowani,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lastRenderedPageBreak/>
        <w:t xml:space="preserve">że będą musieli zapłacić za otrzymane upominki. Miało to na celu odwiedzenie </w:t>
      </w:r>
      <w:r w:rsidR="00EA429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ich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od rezygnacji z zawartych umów. </w:t>
      </w:r>
    </w:p>
    <w:p w14:paraId="46DA8BAC" w14:textId="32E5C48A" w:rsidR="006B3270" w:rsidRDefault="002132B9" w:rsidP="006B3270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Konsumentom, którzy jednak skutecznie odstąpili od umowy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, przedsiębiorcy nie zwracali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wpłaconych 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kwot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mimo takiego obowiązku wynikającego z art. 32 ustawy o prawach konsumenta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492D2398" w14:textId="77777777" w:rsidR="006B3270" w:rsidRPr="007720F5" w:rsidRDefault="006B3270" w:rsidP="006B3270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5022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przypadku umów zawieranych poza lokalem przedsiębiorstwa, a taki model działania prowadzi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ły spółki</w:t>
      </w:r>
      <w:r w:rsidRPr="005022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Med Professional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i Medical Factory</w:t>
      </w:r>
      <w:r w:rsidRPr="005022C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prawo odstąpienia od umowy jest podstawowym uprawnieniem konsumentów. Mają oni na to zawsze 14 dni. Przedsiębiorca powinien niezwłocznie, nie później niż w terminie kolejnych 14 dni od otrzymania oświadczenia konsumenta, zwrócić dokonane przez niego płatności.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Pr="007720F5">
        <w:rPr>
          <w:rStyle w:val="Pogrubienie"/>
          <w:rFonts w:cs="Tahoma"/>
          <w:color w:val="000000"/>
          <w:sz w:val="22"/>
          <w:shd w:val="clear" w:color="auto" w:fill="FFFFFF"/>
        </w:rPr>
        <w:t xml:space="preserve">Co więcej, dzięki </w:t>
      </w:r>
      <w:hyperlink r:id="rId9" w:history="1">
        <w:r w:rsidRPr="007720F5">
          <w:rPr>
            <w:rStyle w:val="Hipercze"/>
            <w:rFonts w:cs="Tahoma"/>
            <w:sz w:val="22"/>
            <w:shd w:val="clear" w:color="auto" w:fill="FFFFFF"/>
          </w:rPr>
          <w:t>dyrektywie Omnibus</w:t>
        </w:r>
      </w:hyperlink>
      <w:r w:rsidRPr="007720F5">
        <w:rPr>
          <w:rStyle w:val="Pogrubienie"/>
          <w:rFonts w:cs="Tahoma"/>
          <w:color w:val="000000"/>
          <w:sz w:val="22"/>
          <w:shd w:val="clear" w:color="auto" w:fill="FFFFFF"/>
        </w:rPr>
        <w:t>, obowiązuje zakaz zawierania umów finansowych podczas pokazu lub wycieczki oraz zakaz przyjmowania płatności przed terminem na odstąpienie od umowy - przy pokazach, wycieczkach i nieumówionych wizytach u konsumenta.</w:t>
      </w:r>
    </w:p>
    <w:p w14:paraId="63BB5D73" w14:textId="77777777" w:rsidR="006B3270" w:rsidRDefault="006B3270" w:rsidP="006B3270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Kary nie tylko dla spółek</w:t>
      </w:r>
    </w:p>
    <w:p w14:paraId="25FCFFD0" w14:textId="77777777" w:rsidR="006B3270" w:rsidRPr="008B3CA7" w:rsidRDefault="006B3270" w:rsidP="006B3270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 w:rsidRPr="008B3CA7">
        <w:rPr>
          <w:rStyle w:val="Pogrubienie"/>
          <w:b w:val="0"/>
          <w:color w:val="000000"/>
          <w:sz w:val="22"/>
        </w:rPr>
        <w:t>Prezes UOKiK nakazał spół</w:t>
      </w:r>
      <w:r>
        <w:rPr>
          <w:rStyle w:val="Pogrubienie"/>
          <w:b w:val="0"/>
          <w:color w:val="000000"/>
          <w:sz w:val="22"/>
        </w:rPr>
        <w:t>kom</w:t>
      </w:r>
      <w:r w:rsidRPr="008B3CA7">
        <w:rPr>
          <w:rStyle w:val="Pogrubienie"/>
          <w:b w:val="0"/>
          <w:color w:val="000000"/>
          <w:sz w:val="22"/>
        </w:rPr>
        <w:t> </w:t>
      </w:r>
      <w:r w:rsidRPr="008B3CA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natychmiast zaprzestać stosowania zakwestionowanych praktyk</w:t>
      </w:r>
      <w:r w:rsidRPr="008B3CA7">
        <w:rPr>
          <w:rStyle w:val="Pogrubienie"/>
          <w:b w:val="0"/>
          <w:color w:val="000000"/>
          <w:sz w:val="22"/>
        </w:rPr>
        <w:t>. Po uprawomocnieniu się decyzji przedsiębiorc</w:t>
      </w:r>
      <w:r>
        <w:rPr>
          <w:rStyle w:val="Pogrubienie"/>
          <w:b w:val="0"/>
          <w:color w:val="000000"/>
          <w:sz w:val="22"/>
        </w:rPr>
        <w:t>y</w:t>
      </w:r>
      <w:r w:rsidRPr="008B3CA7">
        <w:rPr>
          <w:rStyle w:val="Pogrubienie"/>
          <w:b w:val="0"/>
          <w:color w:val="000000"/>
          <w:sz w:val="22"/>
        </w:rPr>
        <w:t xml:space="preserve"> będ</w:t>
      </w:r>
      <w:r>
        <w:rPr>
          <w:rStyle w:val="Pogrubienie"/>
          <w:b w:val="0"/>
          <w:color w:val="000000"/>
          <w:sz w:val="22"/>
        </w:rPr>
        <w:t>ą</w:t>
      </w:r>
      <w:r w:rsidRPr="008B3CA7">
        <w:rPr>
          <w:rStyle w:val="Pogrubienie"/>
          <w:b w:val="0"/>
          <w:color w:val="000000"/>
          <w:sz w:val="22"/>
        </w:rPr>
        <w:t xml:space="preserve"> musi</w:t>
      </w:r>
      <w:r>
        <w:rPr>
          <w:rStyle w:val="Pogrubienie"/>
          <w:b w:val="0"/>
          <w:color w:val="000000"/>
          <w:sz w:val="22"/>
        </w:rPr>
        <w:t>eli</w:t>
      </w:r>
      <w:r w:rsidRPr="008B3CA7">
        <w:rPr>
          <w:rStyle w:val="Pogrubienie"/>
          <w:b w:val="0"/>
          <w:color w:val="000000"/>
          <w:sz w:val="22"/>
        </w:rPr>
        <w:t xml:space="preserve"> również poinformować o niej wszystkich konsumentów,</w:t>
      </w:r>
      <w:r>
        <w:rPr>
          <w:rStyle w:val="Pogrubienie"/>
          <w:b w:val="0"/>
          <w:color w:val="000000"/>
          <w:sz w:val="22"/>
        </w:rPr>
        <w:t xml:space="preserve"> </w:t>
      </w:r>
      <w:r w:rsidRPr="008B3CA7">
        <w:rPr>
          <w:rStyle w:val="Pogrubienie"/>
          <w:b w:val="0"/>
          <w:color w:val="000000"/>
          <w:sz w:val="22"/>
        </w:rPr>
        <w:t>z którymi zawar</w:t>
      </w:r>
      <w:r>
        <w:rPr>
          <w:rStyle w:val="Pogrubienie"/>
          <w:b w:val="0"/>
          <w:color w:val="000000"/>
          <w:sz w:val="22"/>
        </w:rPr>
        <w:t>li</w:t>
      </w:r>
      <w:r w:rsidRPr="008B3CA7">
        <w:rPr>
          <w:rStyle w:val="Pogrubienie"/>
          <w:b w:val="0"/>
          <w:color w:val="000000"/>
          <w:sz w:val="22"/>
        </w:rPr>
        <w:t xml:space="preserve"> umowy</w:t>
      </w:r>
      <w:r>
        <w:rPr>
          <w:rStyle w:val="Pogrubienie"/>
          <w:b w:val="0"/>
          <w:color w:val="000000"/>
          <w:sz w:val="22"/>
        </w:rPr>
        <w:t xml:space="preserve"> sprzedaży poza lokalem. Podobnie jak o zwrocie pieniędzy, w przypadku s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kutecznie złożonej rezygnacji z umowy. </w:t>
      </w:r>
    </w:p>
    <w:p w14:paraId="4B84F538" w14:textId="1EFB4B0C" w:rsidR="00DA769E" w:rsidRDefault="006B3270" w:rsidP="00EA429C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Kara nałożona na spółkę Med Professional to ponad 744 tys. zł (744 514 zł), na Medical Faktory ponad 719 tys. zł (719 660). W związku z umyślnym dopuszczeniem do naruszeń prawa, finansowa sankcja w wysokości po 250 tys. zł (łącznie 500 tys. zł) objęła także osobę zarządzającą spółkami</w:t>
      </w:r>
      <w:r w:rsidR="007720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-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Roberta Piotra Kaczmarka.</w:t>
      </w:r>
      <w:r w:rsidR="00EA429C" w:rsidRPr="00EA429C">
        <w:rPr>
          <w:rStyle w:val="Pogrubienie"/>
          <w:b w:val="0"/>
          <w:color w:val="000000"/>
          <w:sz w:val="22"/>
        </w:rPr>
        <w:t xml:space="preserve"> </w:t>
      </w:r>
    </w:p>
    <w:p w14:paraId="7A2C0506" w14:textId="6A153AFD" w:rsidR="00EA429C" w:rsidRPr="008B3CA7" w:rsidRDefault="00EA429C" w:rsidP="00EA429C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Od decyzji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przysługuje</w:t>
      </w:r>
      <w:r w:rsidR="008C13A3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odwołanie do </w:t>
      </w:r>
      <w:hyperlink r:id="rId10" w:history="1">
        <w:r w:rsidR="006B3270" w:rsidRPr="00587ECB">
          <w:rPr>
            <w:rStyle w:val="Hipercze"/>
            <w:rFonts w:cs="Tahoma"/>
            <w:sz w:val="22"/>
            <w:shd w:val="clear" w:color="auto" w:fill="FFFFFF"/>
          </w:rPr>
          <w:t>Sądu Ochrony Konkurencji i Konsumentów</w:t>
        </w:r>
      </w:hyperlink>
      <w:r w:rsidR="006B327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</w:p>
    <w:p w14:paraId="1E6609CA" w14:textId="768B81E0" w:rsidR="0005359B" w:rsidRDefault="008C13A3" w:rsidP="006B3270">
      <w:pPr>
        <w:spacing w:after="240" w:line="360" w:lineRule="auto"/>
        <w:jc w:val="both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 xml:space="preserve">Prezes UOKiK </w:t>
      </w:r>
      <w:hyperlink r:id="rId11" w:history="1">
        <w:r w:rsidRPr="008C13A3">
          <w:rPr>
            <w:rStyle w:val="Hipercze"/>
            <w:rFonts w:cs="Calibri"/>
            <w:sz w:val="22"/>
          </w:rPr>
          <w:t>stale monitoruje i weryfikuje</w:t>
        </w:r>
      </w:hyperlink>
      <w:r>
        <w:rPr>
          <w:rFonts w:cs="Calibri"/>
          <w:color w:val="000000"/>
          <w:sz w:val="22"/>
        </w:rPr>
        <w:t xml:space="preserve"> działania firm prowadzących pokazy handlowe, w przypadku nieuczciwych przedsiębiorców zawiadamia prokuraturę</w:t>
      </w:r>
      <w:r w:rsidR="009F03C8">
        <w:rPr>
          <w:rFonts w:cs="Calibri"/>
          <w:color w:val="000000"/>
          <w:sz w:val="22"/>
        </w:rPr>
        <w:t xml:space="preserve"> (tak było również w przypadku Med Professional i Medical Factory)</w:t>
      </w:r>
      <w:r>
        <w:rPr>
          <w:rFonts w:cs="Calibri"/>
          <w:color w:val="000000"/>
          <w:sz w:val="22"/>
        </w:rPr>
        <w:t xml:space="preserve"> </w:t>
      </w:r>
      <w:r w:rsidR="009F03C8">
        <w:rPr>
          <w:rFonts w:cs="Calibri"/>
          <w:color w:val="000000"/>
          <w:sz w:val="22"/>
        </w:rPr>
        <w:t>oraz</w:t>
      </w:r>
      <w:r>
        <w:rPr>
          <w:rFonts w:cs="Calibri"/>
          <w:color w:val="000000"/>
          <w:sz w:val="22"/>
        </w:rPr>
        <w:t xml:space="preserve"> wszczyna postępowania.</w:t>
      </w:r>
    </w:p>
    <w:p w14:paraId="751C95C8" w14:textId="77777777" w:rsidR="00001184" w:rsidRDefault="00001184" w:rsidP="001724A8">
      <w:pPr>
        <w:spacing w:after="240" w:line="360" w:lineRule="auto"/>
        <w:jc w:val="both"/>
        <w:rPr>
          <w:color w:val="000000" w:themeColor="text1"/>
          <w:sz w:val="22"/>
        </w:rPr>
      </w:pPr>
    </w:p>
    <w:p w14:paraId="2695E249" w14:textId="77777777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94C913D" w14:textId="32E357A8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lastRenderedPageBreak/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2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3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3528DBDE" w14:textId="77777777" w:rsidR="003B11E2" w:rsidRPr="00602507" w:rsidRDefault="003B11E2" w:rsidP="00602507"/>
    <w:sectPr w:rsidR="003B11E2" w:rsidRPr="00602507" w:rsidSect="003742FC">
      <w:headerReference w:type="default" r:id="rId14"/>
      <w:footerReference w:type="default" r:id="rId15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AD10F" w14:textId="77777777" w:rsidR="00DC0C19" w:rsidRDefault="00DC0C19">
      <w:r>
        <w:separator/>
      </w:r>
    </w:p>
  </w:endnote>
  <w:endnote w:type="continuationSeparator" w:id="0">
    <w:p w14:paraId="72BB677A" w14:textId="77777777" w:rsidR="00DC0C19" w:rsidRDefault="00DC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441AC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1812F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441AC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1E2B" w14:textId="77777777" w:rsidR="00DC0C19" w:rsidRDefault="00DC0C19">
      <w:r>
        <w:separator/>
      </w:r>
    </w:p>
  </w:footnote>
  <w:footnote w:type="continuationSeparator" w:id="0">
    <w:p w14:paraId="4AAB58EB" w14:textId="77777777" w:rsidR="00DC0C19" w:rsidRDefault="00DC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441ACC" w:rsidRDefault="00C81210" w:rsidP="00441AC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255C4"/>
    <w:multiLevelType w:val="multilevel"/>
    <w:tmpl w:val="12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34886"/>
    <w:multiLevelType w:val="hybridMultilevel"/>
    <w:tmpl w:val="F3967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01CA8"/>
    <w:multiLevelType w:val="hybridMultilevel"/>
    <w:tmpl w:val="2F401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21"/>
  </w:num>
  <w:num w:numId="8">
    <w:abstractNumId w:val="25"/>
  </w:num>
  <w:num w:numId="9">
    <w:abstractNumId w:val="14"/>
  </w:num>
  <w:num w:numId="10">
    <w:abstractNumId w:val="27"/>
  </w:num>
  <w:num w:numId="11">
    <w:abstractNumId w:val="0"/>
  </w:num>
  <w:num w:numId="12">
    <w:abstractNumId w:val="24"/>
  </w:num>
  <w:num w:numId="13">
    <w:abstractNumId w:val="15"/>
  </w:num>
  <w:num w:numId="14">
    <w:abstractNumId w:val="30"/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0"/>
  </w:num>
  <w:num w:numId="23">
    <w:abstractNumId w:val="4"/>
  </w:num>
  <w:num w:numId="24">
    <w:abstractNumId w:val="8"/>
  </w:num>
  <w:num w:numId="25">
    <w:abstractNumId w:val="1"/>
  </w:num>
  <w:num w:numId="26">
    <w:abstractNumId w:val="28"/>
  </w:num>
  <w:num w:numId="27">
    <w:abstractNumId w:val="12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7"/>
  </w:num>
  <w:num w:numId="32">
    <w:abstractNumId w:val="11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184"/>
    <w:rsid w:val="00002034"/>
    <w:rsid w:val="00002C19"/>
    <w:rsid w:val="000042A8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42C4"/>
    <w:rsid w:val="0002523D"/>
    <w:rsid w:val="0002590F"/>
    <w:rsid w:val="00026D3C"/>
    <w:rsid w:val="000310D1"/>
    <w:rsid w:val="00033035"/>
    <w:rsid w:val="000365AA"/>
    <w:rsid w:val="00040319"/>
    <w:rsid w:val="00042F31"/>
    <w:rsid w:val="00042F96"/>
    <w:rsid w:val="0005359B"/>
    <w:rsid w:val="00055697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0E95"/>
    <w:rsid w:val="00081B8A"/>
    <w:rsid w:val="00084F76"/>
    <w:rsid w:val="00090153"/>
    <w:rsid w:val="000920E2"/>
    <w:rsid w:val="00094613"/>
    <w:rsid w:val="00094896"/>
    <w:rsid w:val="00094AC5"/>
    <w:rsid w:val="00096386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CAE"/>
    <w:rsid w:val="000B436A"/>
    <w:rsid w:val="000B49B4"/>
    <w:rsid w:val="000B4E85"/>
    <w:rsid w:val="000B53F5"/>
    <w:rsid w:val="000B7247"/>
    <w:rsid w:val="000C0542"/>
    <w:rsid w:val="000C0B12"/>
    <w:rsid w:val="000C3836"/>
    <w:rsid w:val="000C4F25"/>
    <w:rsid w:val="000D202D"/>
    <w:rsid w:val="000D2CAB"/>
    <w:rsid w:val="000D2FA7"/>
    <w:rsid w:val="000D34B9"/>
    <w:rsid w:val="000D4A1F"/>
    <w:rsid w:val="000D626C"/>
    <w:rsid w:val="000D72EC"/>
    <w:rsid w:val="000D7D8C"/>
    <w:rsid w:val="000E18E0"/>
    <w:rsid w:val="000E1EA0"/>
    <w:rsid w:val="000E2D48"/>
    <w:rsid w:val="000E4E2E"/>
    <w:rsid w:val="000E729D"/>
    <w:rsid w:val="000E79FE"/>
    <w:rsid w:val="000F0499"/>
    <w:rsid w:val="000F4784"/>
    <w:rsid w:val="00100546"/>
    <w:rsid w:val="00101DDB"/>
    <w:rsid w:val="00101E99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0AD"/>
    <w:rsid w:val="001134CD"/>
    <w:rsid w:val="001152D4"/>
    <w:rsid w:val="00117F15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413C7"/>
    <w:rsid w:val="001421B2"/>
    <w:rsid w:val="00143310"/>
    <w:rsid w:val="00144E9C"/>
    <w:rsid w:val="00150FCD"/>
    <w:rsid w:val="001530BD"/>
    <w:rsid w:val="00155B0B"/>
    <w:rsid w:val="00157E9A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7028A"/>
    <w:rsid w:val="00171120"/>
    <w:rsid w:val="00171C8F"/>
    <w:rsid w:val="0017202E"/>
    <w:rsid w:val="001724A8"/>
    <w:rsid w:val="00173806"/>
    <w:rsid w:val="001746FD"/>
    <w:rsid w:val="00175436"/>
    <w:rsid w:val="00177928"/>
    <w:rsid w:val="001814AF"/>
    <w:rsid w:val="001826FD"/>
    <w:rsid w:val="00183E61"/>
    <w:rsid w:val="0019070F"/>
    <w:rsid w:val="00190D5A"/>
    <w:rsid w:val="001918D9"/>
    <w:rsid w:val="0019661A"/>
    <w:rsid w:val="00196736"/>
    <w:rsid w:val="00196E95"/>
    <w:rsid w:val="001979B5"/>
    <w:rsid w:val="001A1A6F"/>
    <w:rsid w:val="001A1ED7"/>
    <w:rsid w:val="001A30F1"/>
    <w:rsid w:val="001A4982"/>
    <w:rsid w:val="001A5F7C"/>
    <w:rsid w:val="001A620F"/>
    <w:rsid w:val="001A6E5B"/>
    <w:rsid w:val="001A7451"/>
    <w:rsid w:val="001B0740"/>
    <w:rsid w:val="001B752A"/>
    <w:rsid w:val="001B7BD8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7D9"/>
    <w:rsid w:val="001E188E"/>
    <w:rsid w:val="001E1ED5"/>
    <w:rsid w:val="001E2826"/>
    <w:rsid w:val="001E2FEA"/>
    <w:rsid w:val="001E4AD3"/>
    <w:rsid w:val="001E4F92"/>
    <w:rsid w:val="001E5612"/>
    <w:rsid w:val="001F2F22"/>
    <w:rsid w:val="001F337B"/>
    <w:rsid w:val="001F4A73"/>
    <w:rsid w:val="001F5323"/>
    <w:rsid w:val="001F63E4"/>
    <w:rsid w:val="001F68BD"/>
    <w:rsid w:val="00205580"/>
    <w:rsid w:val="00206916"/>
    <w:rsid w:val="00206F0B"/>
    <w:rsid w:val="00210493"/>
    <w:rsid w:val="00211A94"/>
    <w:rsid w:val="002132B9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35D7E"/>
    <w:rsid w:val="00237CBC"/>
    <w:rsid w:val="00240013"/>
    <w:rsid w:val="0024003E"/>
    <w:rsid w:val="0024101E"/>
    <w:rsid w:val="0024118E"/>
    <w:rsid w:val="00241BAC"/>
    <w:rsid w:val="00243661"/>
    <w:rsid w:val="002449DE"/>
    <w:rsid w:val="00244DBD"/>
    <w:rsid w:val="00245A01"/>
    <w:rsid w:val="00246B4A"/>
    <w:rsid w:val="0025026C"/>
    <w:rsid w:val="00251E26"/>
    <w:rsid w:val="00252ECE"/>
    <w:rsid w:val="002555F4"/>
    <w:rsid w:val="00257789"/>
    <w:rsid w:val="00260382"/>
    <w:rsid w:val="00262E52"/>
    <w:rsid w:val="00265D3F"/>
    <w:rsid w:val="00266082"/>
    <w:rsid w:val="00266CB4"/>
    <w:rsid w:val="00267CF5"/>
    <w:rsid w:val="00267DD1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BE4"/>
    <w:rsid w:val="00286DD7"/>
    <w:rsid w:val="00286E54"/>
    <w:rsid w:val="00292D75"/>
    <w:rsid w:val="00293525"/>
    <w:rsid w:val="0029439D"/>
    <w:rsid w:val="00295193"/>
    <w:rsid w:val="00295B34"/>
    <w:rsid w:val="00296D93"/>
    <w:rsid w:val="00297620"/>
    <w:rsid w:val="002A5D69"/>
    <w:rsid w:val="002B0269"/>
    <w:rsid w:val="002B1DBF"/>
    <w:rsid w:val="002B3B3B"/>
    <w:rsid w:val="002B4C6B"/>
    <w:rsid w:val="002C0D5D"/>
    <w:rsid w:val="002C3155"/>
    <w:rsid w:val="002C361E"/>
    <w:rsid w:val="002C4FFE"/>
    <w:rsid w:val="002C53CB"/>
    <w:rsid w:val="002C692D"/>
    <w:rsid w:val="002C6ABE"/>
    <w:rsid w:val="002C6DD8"/>
    <w:rsid w:val="002C743A"/>
    <w:rsid w:val="002E2BEE"/>
    <w:rsid w:val="002E388C"/>
    <w:rsid w:val="002E4BE8"/>
    <w:rsid w:val="002E5BEF"/>
    <w:rsid w:val="002E691A"/>
    <w:rsid w:val="002F1BF3"/>
    <w:rsid w:val="002F2C49"/>
    <w:rsid w:val="002F4D43"/>
    <w:rsid w:val="002F5879"/>
    <w:rsid w:val="003019D6"/>
    <w:rsid w:val="003035B9"/>
    <w:rsid w:val="003039AF"/>
    <w:rsid w:val="003056C6"/>
    <w:rsid w:val="003066C2"/>
    <w:rsid w:val="003071F4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BC3"/>
    <w:rsid w:val="0032426F"/>
    <w:rsid w:val="00324306"/>
    <w:rsid w:val="003278D6"/>
    <w:rsid w:val="003303F0"/>
    <w:rsid w:val="003311C0"/>
    <w:rsid w:val="003317C9"/>
    <w:rsid w:val="00331AFF"/>
    <w:rsid w:val="003348EF"/>
    <w:rsid w:val="0034059B"/>
    <w:rsid w:val="00341D5B"/>
    <w:rsid w:val="00341FC5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1BDA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56F2"/>
    <w:rsid w:val="0038677D"/>
    <w:rsid w:val="00387739"/>
    <w:rsid w:val="0039154A"/>
    <w:rsid w:val="003916E7"/>
    <w:rsid w:val="00391F20"/>
    <w:rsid w:val="0039217F"/>
    <w:rsid w:val="00394548"/>
    <w:rsid w:val="00396DFE"/>
    <w:rsid w:val="003979A6"/>
    <w:rsid w:val="003A0F2C"/>
    <w:rsid w:val="003A2B10"/>
    <w:rsid w:val="003A35D6"/>
    <w:rsid w:val="003A3DA6"/>
    <w:rsid w:val="003A4A05"/>
    <w:rsid w:val="003A5566"/>
    <w:rsid w:val="003A73BE"/>
    <w:rsid w:val="003B11E2"/>
    <w:rsid w:val="003B3EA5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06DE"/>
    <w:rsid w:val="003F2C04"/>
    <w:rsid w:val="003F2CC1"/>
    <w:rsid w:val="003F6D16"/>
    <w:rsid w:val="003F76BB"/>
    <w:rsid w:val="004014D7"/>
    <w:rsid w:val="00401C23"/>
    <w:rsid w:val="00402C99"/>
    <w:rsid w:val="00405606"/>
    <w:rsid w:val="0040748E"/>
    <w:rsid w:val="004110FA"/>
    <w:rsid w:val="00412206"/>
    <w:rsid w:val="00413B92"/>
    <w:rsid w:val="00414702"/>
    <w:rsid w:val="00416767"/>
    <w:rsid w:val="00416D63"/>
    <w:rsid w:val="0041758D"/>
    <w:rsid w:val="00417874"/>
    <w:rsid w:val="00423B87"/>
    <w:rsid w:val="00425218"/>
    <w:rsid w:val="00425A45"/>
    <w:rsid w:val="00425FF9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19A3"/>
    <w:rsid w:val="00441ACC"/>
    <w:rsid w:val="004425B7"/>
    <w:rsid w:val="00442692"/>
    <w:rsid w:val="00444A85"/>
    <w:rsid w:val="00444D11"/>
    <w:rsid w:val="004450C8"/>
    <w:rsid w:val="00445594"/>
    <w:rsid w:val="00445B47"/>
    <w:rsid w:val="004469D6"/>
    <w:rsid w:val="004523FF"/>
    <w:rsid w:val="0045285C"/>
    <w:rsid w:val="00455D6E"/>
    <w:rsid w:val="00456CCB"/>
    <w:rsid w:val="00457D58"/>
    <w:rsid w:val="00460C78"/>
    <w:rsid w:val="004618AD"/>
    <w:rsid w:val="00462CFA"/>
    <w:rsid w:val="00464D7B"/>
    <w:rsid w:val="004656A6"/>
    <w:rsid w:val="00466210"/>
    <w:rsid w:val="00466DCD"/>
    <w:rsid w:val="004677AB"/>
    <w:rsid w:val="00471131"/>
    <w:rsid w:val="004717CE"/>
    <w:rsid w:val="00471CFE"/>
    <w:rsid w:val="00471F59"/>
    <w:rsid w:val="0047596E"/>
    <w:rsid w:val="00477B8E"/>
    <w:rsid w:val="00481709"/>
    <w:rsid w:val="00482A95"/>
    <w:rsid w:val="00482B9B"/>
    <w:rsid w:val="00482E92"/>
    <w:rsid w:val="004844BA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54E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C0F9E"/>
    <w:rsid w:val="004C1243"/>
    <w:rsid w:val="004C12A8"/>
    <w:rsid w:val="004C321E"/>
    <w:rsid w:val="004C4964"/>
    <w:rsid w:val="004C5C26"/>
    <w:rsid w:val="004C6885"/>
    <w:rsid w:val="004C70AD"/>
    <w:rsid w:val="004D50BF"/>
    <w:rsid w:val="004D6BF2"/>
    <w:rsid w:val="004D7C0E"/>
    <w:rsid w:val="004F1215"/>
    <w:rsid w:val="004F4BE0"/>
    <w:rsid w:val="004F74F2"/>
    <w:rsid w:val="004F7E99"/>
    <w:rsid w:val="005003F9"/>
    <w:rsid w:val="005020F5"/>
    <w:rsid w:val="00502A08"/>
    <w:rsid w:val="0050417B"/>
    <w:rsid w:val="00504B7E"/>
    <w:rsid w:val="00505372"/>
    <w:rsid w:val="00510F77"/>
    <w:rsid w:val="00511612"/>
    <w:rsid w:val="005129C3"/>
    <w:rsid w:val="005133CE"/>
    <w:rsid w:val="005136ED"/>
    <w:rsid w:val="0051598C"/>
    <w:rsid w:val="00516A04"/>
    <w:rsid w:val="005178D0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2EBC"/>
    <w:rsid w:val="00534409"/>
    <w:rsid w:val="005364C3"/>
    <w:rsid w:val="00536780"/>
    <w:rsid w:val="00540372"/>
    <w:rsid w:val="00541A48"/>
    <w:rsid w:val="00542E0D"/>
    <w:rsid w:val="005430D6"/>
    <w:rsid w:val="0054414B"/>
    <w:rsid w:val="005442FC"/>
    <w:rsid w:val="005446BB"/>
    <w:rsid w:val="0054721B"/>
    <w:rsid w:val="00550AB2"/>
    <w:rsid w:val="00550DE9"/>
    <w:rsid w:val="0055352F"/>
    <w:rsid w:val="0055631D"/>
    <w:rsid w:val="0056043C"/>
    <w:rsid w:val="0056286E"/>
    <w:rsid w:val="00562A60"/>
    <w:rsid w:val="0056472A"/>
    <w:rsid w:val="00564B0B"/>
    <w:rsid w:val="00565B9C"/>
    <w:rsid w:val="00566B35"/>
    <w:rsid w:val="00571060"/>
    <w:rsid w:val="00571E13"/>
    <w:rsid w:val="00574479"/>
    <w:rsid w:val="00576FFE"/>
    <w:rsid w:val="00577DB8"/>
    <w:rsid w:val="005842E2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6D0B"/>
    <w:rsid w:val="005973FD"/>
    <w:rsid w:val="00597C68"/>
    <w:rsid w:val="005A37E7"/>
    <w:rsid w:val="005A382B"/>
    <w:rsid w:val="005A4047"/>
    <w:rsid w:val="005A5C0E"/>
    <w:rsid w:val="005B39F8"/>
    <w:rsid w:val="005B6FE6"/>
    <w:rsid w:val="005C0D39"/>
    <w:rsid w:val="005C1EE9"/>
    <w:rsid w:val="005C2235"/>
    <w:rsid w:val="005C4D3B"/>
    <w:rsid w:val="005C6232"/>
    <w:rsid w:val="005C6B58"/>
    <w:rsid w:val="005D0325"/>
    <w:rsid w:val="005D1368"/>
    <w:rsid w:val="005D4309"/>
    <w:rsid w:val="005D5616"/>
    <w:rsid w:val="005D570A"/>
    <w:rsid w:val="005D5A19"/>
    <w:rsid w:val="005D6643"/>
    <w:rsid w:val="005D6F7A"/>
    <w:rsid w:val="005E1035"/>
    <w:rsid w:val="005E35A3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3269"/>
    <w:rsid w:val="005F410B"/>
    <w:rsid w:val="005F4BFB"/>
    <w:rsid w:val="00602507"/>
    <w:rsid w:val="00602A1B"/>
    <w:rsid w:val="00602C7D"/>
    <w:rsid w:val="006063D0"/>
    <w:rsid w:val="0060658C"/>
    <w:rsid w:val="0061020D"/>
    <w:rsid w:val="00613C45"/>
    <w:rsid w:val="00616EE8"/>
    <w:rsid w:val="00621291"/>
    <w:rsid w:val="00623E94"/>
    <w:rsid w:val="0062597D"/>
    <w:rsid w:val="006260AA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51BF"/>
    <w:rsid w:val="0065736E"/>
    <w:rsid w:val="006618CC"/>
    <w:rsid w:val="006644D0"/>
    <w:rsid w:val="00664CFA"/>
    <w:rsid w:val="00665AFC"/>
    <w:rsid w:val="006671BC"/>
    <w:rsid w:val="006679EB"/>
    <w:rsid w:val="006700DA"/>
    <w:rsid w:val="00672A15"/>
    <w:rsid w:val="0067485D"/>
    <w:rsid w:val="0067496E"/>
    <w:rsid w:val="00675C6D"/>
    <w:rsid w:val="00675FFE"/>
    <w:rsid w:val="00677973"/>
    <w:rsid w:val="0068225D"/>
    <w:rsid w:val="00683E01"/>
    <w:rsid w:val="006847B8"/>
    <w:rsid w:val="00685919"/>
    <w:rsid w:val="006865C3"/>
    <w:rsid w:val="0068740C"/>
    <w:rsid w:val="0068765E"/>
    <w:rsid w:val="006878AF"/>
    <w:rsid w:val="006879C4"/>
    <w:rsid w:val="00694D2B"/>
    <w:rsid w:val="006971C5"/>
    <w:rsid w:val="006A1872"/>
    <w:rsid w:val="006A1939"/>
    <w:rsid w:val="006A2065"/>
    <w:rsid w:val="006A3D88"/>
    <w:rsid w:val="006A4082"/>
    <w:rsid w:val="006A4A7A"/>
    <w:rsid w:val="006A6A56"/>
    <w:rsid w:val="006A7927"/>
    <w:rsid w:val="006A7BDA"/>
    <w:rsid w:val="006A7E43"/>
    <w:rsid w:val="006B0848"/>
    <w:rsid w:val="006B13F8"/>
    <w:rsid w:val="006B2132"/>
    <w:rsid w:val="006B2EE2"/>
    <w:rsid w:val="006B31EF"/>
    <w:rsid w:val="006B3270"/>
    <w:rsid w:val="006B445B"/>
    <w:rsid w:val="006B733D"/>
    <w:rsid w:val="006B7743"/>
    <w:rsid w:val="006C0C43"/>
    <w:rsid w:val="006C29FE"/>
    <w:rsid w:val="006C34AE"/>
    <w:rsid w:val="006C5C58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5BE"/>
    <w:rsid w:val="006F5067"/>
    <w:rsid w:val="006F6B99"/>
    <w:rsid w:val="006F7D7F"/>
    <w:rsid w:val="00700822"/>
    <w:rsid w:val="00701802"/>
    <w:rsid w:val="00703863"/>
    <w:rsid w:val="007039EC"/>
    <w:rsid w:val="007067CE"/>
    <w:rsid w:val="00710AF9"/>
    <w:rsid w:val="00713FF0"/>
    <w:rsid w:val="0071436C"/>
    <w:rsid w:val="0071572D"/>
    <w:rsid w:val="007157BA"/>
    <w:rsid w:val="007169F9"/>
    <w:rsid w:val="007174A6"/>
    <w:rsid w:val="007224B3"/>
    <w:rsid w:val="0072278A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0E06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6B23"/>
    <w:rsid w:val="00767E70"/>
    <w:rsid w:val="007711C0"/>
    <w:rsid w:val="007720F5"/>
    <w:rsid w:val="00772284"/>
    <w:rsid w:val="00773E0F"/>
    <w:rsid w:val="0077414D"/>
    <w:rsid w:val="0077481A"/>
    <w:rsid w:val="0077510C"/>
    <w:rsid w:val="0077521F"/>
    <w:rsid w:val="00775420"/>
    <w:rsid w:val="00776C4F"/>
    <w:rsid w:val="00777498"/>
    <w:rsid w:val="00781971"/>
    <w:rsid w:val="007830A7"/>
    <w:rsid w:val="007836A0"/>
    <w:rsid w:val="007838E4"/>
    <w:rsid w:val="0078447F"/>
    <w:rsid w:val="007846DC"/>
    <w:rsid w:val="00785D30"/>
    <w:rsid w:val="00790439"/>
    <w:rsid w:val="00790B0C"/>
    <w:rsid w:val="0079108F"/>
    <w:rsid w:val="00796C41"/>
    <w:rsid w:val="007A1590"/>
    <w:rsid w:val="007A19D8"/>
    <w:rsid w:val="007A50E0"/>
    <w:rsid w:val="007A7309"/>
    <w:rsid w:val="007B18E7"/>
    <w:rsid w:val="007B3159"/>
    <w:rsid w:val="007B60F8"/>
    <w:rsid w:val="007C7903"/>
    <w:rsid w:val="007D15E3"/>
    <w:rsid w:val="007D6506"/>
    <w:rsid w:val="007D676C"/>
    <w:rsid w:val="007D704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5EB"/>
    <w:rsid w:val="0081013A"/>
    <w:rsid w:val="00810225"/>
    <w:rsid w:val="00813621"/>
    <w:rsid w:val="00813C2C"/>
    <w:rsid w:val="00815806"/>
    <w:rsid w:val="0081753E"/>
    <w:rsid w:val="00820DE8"/>
    <w:rsid w:val="00821B08"/>
    <w:rsid w:val="0082248B"/>
    <w:rsid w:val="0082343F"/>
    <w:rsid w:val="008249A8"/>
    <w:rsid w:val="0083101F"/>
    <w:rsid w:val="00835121"/>
    <w:rsid w:val="00840949"/>
    <w:rsid w:val="008421C2"/>
    <w:rsid w:val="008442F8"/>
    <w:rsid w:val="00844322"/>
    <w:rsid w:val="0084492B"/>
    <w:rsid w:val="008457D0"/>
    <w:rsid w:val="0084674D"/>
    <w:rsid w:val="008475F0"/>
    <w:rsid w:val="0085010E"/>
    <w:rsid w:val="00851BF2"/>
    <w:rsid w:val="0085454F"/>
    <w:rsid w:val="00860FF2"/>
    <w:rsid w:val="00865F00"/>
    <w:rsid w:val="0087084F"/>
    <w:rsid w:val="00872388"/>
    <w:rsid w:val="0087354F"/>
    <w:rsid w:val="008749CE"/>
    <w:rsid w:val="00875853"/>
    <w:rsid w:val="00880597"/>
    <w:rsid w:val="008859F4"/>
    <w:rsid w:val="00887D66"/>
    <w:rsid w:val="008903F4"/>
    <w:rsid w:val="0089124A"/>
    <w:rsid w:val="00891A46"/>
    <w:rsid w:val="008938F9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0186"/>
    <w:rsid w:val="008C1060"/>
    <w:rsid w:val="008C13A3"/>
    <w:rsid w:val="008C1B79"/>
    <w:rsid w:val="008C2DAB"/>
    <w:rsid w:val="008C53D0"/>
    <w:rsid w:val="008C66B1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6C51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076E5"/>
    <w:rsid w:val="0091048E"/>
    <w:rsid w:val="00911C92"/>
    <w:rsid w:val="00914712"/>
    <w:rsid w:val="00915F68"/>
    <w:rsid w:val="0091759F"/>
    <w:rsid w:val="00920076"/>
    <w:rsid w:val="00920A48"/>
    <w:rsid w:val="00920F5C"/>
    <w:rsid w:val="00923FDD"/>
    <w:rsid w:val="00924ABC"/>
    <w:rsid w:val="0092553D"/>
    <w:rsid w:val="00926E08"/>
    <w:rsid w:val="009302B8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652F2"/>
    <w:rsid w:val="00965854"/>
    <w:rsid w:val="009667C0"/>
    <w:rsid w:val="00967369"/>
    <w:rsid w:val="009678E2"/>
    <w:rsid w:val="009700D7"/>
    <w:rsid w:val="00971388"/>
    <w:rsid w:val="009719ED"/>
    <w:rsid w:val="009749C6"/>
    <w:rsid w:val="00975D3A"/>
    <w:rsid w:val="00975D50"/>
    <w:rsid w:val="009766FD"/>
    <w:rsid w:val="009768A6"/>
    <w:rsid w:val="00977C73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2172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2C79"/>
    <w:rsid w:val="009D3AC9"/>
    <w:rsid w:val="009D48C5"/>
    <w:rsid w:val="009D593E"/>
    <w:rsid w:val="009D596A"/>
    <w:rsid w:val="009D67D8"/>
    <w:rsid w:val="009E00A6"/>
    <w:rsid w:val="009E0518"/>
    <w:rsid w:val="009E3C0B"/>
    <w:rsid w:val="009E5A49"/>
    <w:rsid w:val="009F03C8"/>
    <w:rsid w:val="009F2009"/>
    <w:rsid w:val="00A01ADE"/>
    <w:rsid w:val="00A02B17"/>
    <w:rsid w:val="00A02C77"/>
    <w:rsid w:val="00A03921"/>
    <w:rsid w:val="00A05CAE"/>
    <w:rsid w:val="00A116C6"/>
    <w:rsid w:val="00A11F5B"/>
    <w:rsid w:val="00A120A8"/>
    <w:rsid w:val="00A12E9D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31A"/>
    <w:rsid w:val="00A25513"/>
    <w:rsid w:val="00A26D8B"/>
    <w:rsid w:val="00A27ED1"/>
    <w:rsid w:val="00A31DB2"/>
    <w:rsid w:val="00A33DE6"/>
    <w:rsid w:val="00A351C5"/>
    <w:rsid w:val="00A35329"/>
    <w:rsid w:val="00A4010A"/>
    <w:rsid w:val="00A41205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1FDB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27A3"/>
    <w:rsid w:val="00AA40C9"/>
    <w:rsid w:val="00AA602D"/>
    <w:rsid w:val="00AA68FF"/>
    <w:rsid w:val="00AA7F58"/>
    <w:rsid w:val="00AB03BA"/>
    <w:rsid w:val="00AB1E95"/>
    <w:rsid w:val="00AB397A"/>
    <w:rsid w:val="00AB572D"/>
    <w:rsid w:val="00AB678F"/>
    <w:rsid w:val="00AB6D7A"/>
    <w:rsid w:val="00AC21A3"/>
    <w:rsid w:val="00AC2764"/>
    <w:rsid w:val="00AC499C"/>
    <w:rsid w:val="00AC5A87"/>
    <w:rsid w:val="00AC6525"/>
    <w:rsid w:val="00AD14CD"/>
    <w:rsid w:val="00AD1692"/>
    <w:rsid w:val="00AD2116"/>
    <w:rsid w:val="00AD3B58"/>
    <w:rsid w:val="00AD5247"/>
    <w:rsid w:val="00AD5AE2"/>
    <w:rsid w:val="00AD73A9"/>
    <w:rsid w:val="00AE1607"/>
    <w:rsid w:val="00AE1ED6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43A"/>
    <w:rsid w:val="00B028F7"/>
    <w:rsid w:val="00B02AEB"/>
    <w:rsid w:val="00B0408E"/>
    <w:rsid w:val="00B0501A"/>
    <w:rsid w:val="00B05A3A"/>
    <w:rsid w:val="00B06101"/>
    <w:rsid w:val="00B075C5"/>
    <w:rsid w:val="00B07948"/>
    <w:rsid w:val="00B100C6"/>
    <w:rsid w:val="00B12BE5"/>
    <w:rsid w:val="00B12CD3"/>
    <w:rsid w:val="00B12FAF"/>
    <w:rsid w:val="00B1327C"/>
    <w:rsid w:val="00B1432E"/>
    <w:rsid w:val="00B14792"/>
    <w:rsid w:val="00B17717"/>
    <w:rsid w:val="00B2063A"/>
    <w:rsid w:val="00B218B9"/>
    <w:rsid w:val="00B22863"/>
    <w:rsid w:val="00B23160"/>
    <w:rsid w:val="00B24D5B"/>
    <w:rsid w:val="00B25407"/>
    <w:rsid w:val="00B25B6B"/>
    <w:rsid w:val="00B30951"/>
    <w:rsid w:val="00B30CC1"/>
    <w:rsid w:val="00B30E6F"/>
    <w:rsid w:val="00B337FC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523"/>
    <w:rsid w:val="00B75C85"/>
    <w:rsid w:val="00B76643"/>
    <w:rsid w:val="00B76F0D"/>
    <w:rsid w:val="00B76F9A"/>
    <w:rsid w:val="00B774D3"/>
    <w:rsid w:val="00B810B2"/>
    <w:rsid w:val="00B8330B"/>
    <w:rsid w:val="00B85504"/>
    <w:rsid w:val="00B86612"/>
    <w:rsid w:val="00B87F2B"/>
    <w:rsid w:val="00B9358C"/>
    <w:rsid w:val="00B9617F"/>
    <w:rsid w:val="00BA0682"/>
    <w:rsid w:val="00BA110A"/>
    <w:rsid w:val="00BA26F7"/>
    <w:rsid w:val="00BA4871"/>
    <w:rsid w:val="00BA79F0"/>
    <w:rsid w:val="00BB2413"/>
    <w:rsid w:val="00BB3098"/>
    <w:rsid w:val="00BB5068"/>
    <w:rsid w:val="00BB72A0"/>
    <w:rsid w:val="00BB7AE8"/>
    <w:rsid w:val="00BC056E"/>
    <w:rsid w:val="00BC2BCB"/>
    <w:rsid w:val="00BC3DDD"/>
    <w:rsid w:val="00BC55A3"/>
    <w:rsid w:val="00BC59E3"/>
    <w:rsid w:val="00BC5BFA"/>
    <w:rsid w:val="00BC7083"/>
    <w:rsid w:val="00BD044B"/>
    <w:rsid w:val="00BD0481"/>
    <w:rsid w:val="00BD1D65"/>
    <w:rsid w:val="00BD1FA8"/>
    <w:rsid w:val="00BD3AE6"/>
    <w:rsid w:val="00BD4447"/>
    <w:rsid w:val="00BD4ED1"/>
    <w:rsid w:val="00BD61B7"/>
    <w:rsid w:val="00BE2385"/>
    <w:rsid w:val="00BE2623"/>
    <w:rsid w:val="00BE3626"/>
    <w:rsid w:val="00BE3923"/>
    <w:rsid w:val="00BE4BF0"/>
    <w:rsid w:val="00BE596D"/>
    <w:rsid w:val="00BE5EE5"/>
    <w:rsid w:val="00BE68EE"/>
    <w:rsid w:val="00BE7E89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2BC8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32AC6"/>
    <w:rsid w:val="00C336C0"/>
    <w:rsid w:val="00C3617E"/>
    <w:rsid w:val="00C3619D"/>
    <w:rsid w:val="00C36419"/>
    <w:rsid w:val="00C36F67"/>
    <w:rsid w:val="00C44041"/>
    <w:rsid w:val="00C44F6E"/>
    <w:rsid w:val="00C46722"/>
    <w:rsid w:val="00C477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3E15"/>
    <w:rsid w:val="00C9280D"/>
    <w:rsid w:val="00C93885"/>
    <w:rsid w:val="00C978B9"/>
    <w:rsid w:val="00CA0F4D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442E"/>
    <w:rsid w:val="00CB549E"/>
    <w:rsid w:val="00CB78C9"/>
    <w:rsid w:val="00CB7B3D"/>
    <w:rsid w:val="00CC1246"/>
    <w:rsid w:val="00CC17D5"/>
    <w:rsid w:val="00CC2F62"/>
    <w:rsid w:val="00CC38CE"/>
    <w:rsid w:val="00CD033B"/>
    <w:rsid w:val="00CD039E"/>
    <w:rsid w:val="00CD04C2"/>
    <w:rsid w:val="00CD263F"/>
    <w:rsid w:val="00CD28D3"/>
    <w:rsid w:val="00CD2FFC"/>
    <w:rsid w:val="00CD34F0"/>
    <w:rsid w:val="00CD41ED"/>
    <w:rsid w:val="00CD421A"/>
    <w:rsid w:val="00CD593B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398"/>
    <w:rsid w:val="00CF592E"/>
    <w:rsid w:val="00CF5AB0"/>
    <w:rsid w:val="00CF67BF"/>
    <w:rsid w:val="00CF6881"/>
    <w:rsid w:val="00CF7570"/>
    <w:rsid w:val="00D01441"/>
    <w:rsid w:val="00D01EA5"/>
    <w:rsid w:val="00D026A7"/>
    <w:rsid w:val="00D03BD4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25351"/>
    <w:rsid w:val="00D3235F"/>
    <w:rsid w:val="00D32B2E"/>
    <w:rsid w:val="00D347CD"/>
    <w:rsid w:val="00D34CA7"/>
    <w:rsid w:val="00D35132"/>
    <w:rsid w:val="00D366FA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57D6C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5954"/>
    <w:rsid w:val="00D768A4"/>
    <w:rsid w:val="00D80141"/>
    <w:rsid w:val="00D86742"/>
    <w:rsid w:val="00D87864"/>
    <w:rsid w:val="00D87A41"/>
    <w:rsid w:val="00D9049D"/>
    <w:rsid w:val="00D905A6"/>
    <w:rsid w:val="00D927A9"/>
    <w:rsid w:val="00D92F52"/>
    <w:rsid w:val="00D95BAD"/>
    <w:rsid w:val="00DA116F"/>
    <w:rsid w:val="00DA1C6B"/>
    <w:rsid w:val="00DA2344"/>
    <w:rsid w:val="00DA3DB9"/>
    <w:rsid w:val="00DA753F"/>
    <w:rsid w:val="00DA769E"/>
    <w:rsid w:val="00DB43E3"/>
    <w:rsid w:val="00DB4D54"/>
    <w:rsid w:val="00DB4FAD"/>
    <w:rsid w:val="00DB5A7E"/>
    <w:rsid w:val="00DC07CC"/>
    <w:rsid w:val="00DC0C19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17AF"/>
    <w:rsid w:val="00DE2E93"/>
    <w:rsid w:val="00DE4D74"/>
    <w:rsid w:val="00DE5853"/>
    <w:rsid w:val="00DE6895"/>
    <w:rsid w:val="00DE6C12"/>
    <w:rsid w:val="00DE7C6A"/>
    <w:rsid w:val="00DF0128"/>
    <w:rsid w:val="00DF15AE"/>
    <w:rsid w:val="00DF2857"/>
    <w:rsid w:val="00DF2914"/>
    <w:rsid w:val="00DF2C72"/>
    <w:rsid w:val="00DF3707"/>
    <w:rsid w:val="00DF49AA"/>
    <w:rsid w:val="00DF6E54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07DE3"/>
    <w:rsid w:val="00E102DE"/>
    <w:rsid w:val="00E11CFC"/>
    <w:rsid w:val="00E121AA"/>
    <w:rsid w:val="00E1477D"/>
    <w:rsid w:val="00E201A7"/>
    <w:rsid w:val="00E20ABD"/>
    <w:rsid w:val="00E2120C"/>
    <w:rsid w:val="00E22D24"/>
    <w:rsid w:val="00E24825"/>
    <w:rsid w:val="00E261E6"/>
    <w:rsid w:val="00E319D7"/>
    <w:rsid w:val="00E33C1D"/>
    <w:rsid w:val="00E35834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3E86"/>
    <w:rsid w:val="00E55325"/>
    <w:rsid w:val="00E56F53"/>
    <w:rsid w:val="00E56F73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3C29"/>
    <w:rsid w:val="00E74FCC"/>
    <w:rsid w:val="00E75E52"/>
    <w:rsid w:val="00E76CD1"/>
    <w:rsid w:val="00E801D5"/>
    <w:rsid w:val="00E80CAC"/>
    <w:rsid w:val="00E80D6C"/>
    <w:rsid w:val="00E83D25"/>
    <w:rsid w:val="00E95BAE"/>
    <w:rsid w:val="00E96190"/>
    <w:rsid w:val="00E97015"/>
    <w:rsid w:val="00EA088E"/>
    <w:rsid w:val="00EA1663"/>
    <w:rsid w:val="00EA429C"/>
    <w:rsid w:val="00EA5928"/>
    <w:rsid w:val="00EA7F91"/>
    <w:rsid w:val="00EB1D2F"/>
    <w:rsid w:val="00EB242C"/>
    <w:rsid w:val="00EB49CA"/>
    <w:rsid w:val="00EB5CE6"/>
    <w:rsid w:val="00EB5EF2"/>
    <w:rsid w:val="00EC3DF3"/>
    <w:rsid w:val="00EC558D"/>
    <w:rsid w:val="00EC6401"/>
    <w:rsid w:val="00EC67A3"/>
    <w:rsid w:val="00ED0CE8"/>
    <w:rsid w:val="00ED3AC6"/>
    <w:rsid w:val="00ED7FEA"/>
    <w:rsid w:val="00EE1B66"/>
    <w:rsid w:val="00EE40BE"/>
    <w:rsid w:val="00EE4AD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1793"/>
    <w:rsid w:val="00F026ED"/>
    <w:rsid w:val="00F11534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3E31"/>
    <w:rsid w:val="00F24274"/>
    <w:rsid w:val="00F261EA"/>
    <w:rsid w:val="00F267B8"/>
    <w:rsid w:val="00F30442"/>
    <w:rsid w:val="00F3243D"/>
    <w:rsid w:val="00F3544E"/>
    <w:rsid w:val="00F36651"/>
    <w:rsid w:val="00F379BB"/>
    <w:rsid w:val="00F37CCA"/>
    <w:rsid w:val="00F37E7C"/>
    <w:rsid w:val="00F4186B"/>
    <w:rsid w:val="00F435B8"/>
    <w:rsid w:val="00F447FE"/>
    <w:rsid w:val="00F46601"/>
    <w:rsid w:val="00F467D7"/>
    <w:rsid w:val="00F46D0D"/>
    <w:rsid w:val="00F52725"/>
    <w:rsid w:val="00F533F6"/>
    <w:rsid w:val="00F5613E"/>
    <w:rsid w:val="00F562A3"/>
    <w:rsid w:val="00F6285F"/>
    <w:rsid w:val="00F6637B"/>
    <w:rsid w:val="00F66476"/>
    <w:rsid w:val="00F66A1B"/>
    <w:rsid w:val="00F74BE2"/>
    <w:rsid w:val="00F758F5"/>
    <w:rsid w:val="00F7591A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0491"/>
    <w:rsid w:val="00F92986"/>
    <w:rsid w:val="00F92B59"/>
    <w:rsid w:val="00F948BC"/>
    <w:rsid w:val="00F949C1"/>
    <w:rsid w:val="00F9591A"/>
    <w:rsid w:val="00F960CF"/>
    <w:rsid w:val="00F96597"/>
    <w:rsid w:val="00F96821"/>
    <w:rsid w:val="00FA10A3"/>
    <w:rsid w:val="00FA1226"/>
    <w:rsid w:val="00FA5E8B"/>
    <w:rsid w:val="00FA62F6"/>
    <w:rsid w:val="00FA68E4"/>
    <w:rsid w:val="00FA78F3"/>
    <w:rsid w:val="00FB01B4"/>
    <w:rsid w:val="00FB026C"/>
    <w:rsid w:val="00FB2FD0"/>
    <w:rsid w:val="00FB3E0D"/>
    <w:rsid w:val="00FB4396"/>
    <w:rsid w:val="00FB5627"/>
    <w:rsid w:val="00FB611B"/>
    <w:rsid w:val="00FC006A"/>
    <w:rsid w:val="00FC3EE6"/>
    <w:rsid w:val="00FC4EDE"/>
    <w:rsid w:val="00FC51CC"/>
    <w:rsid w:val="00FC5AC7"/>
    <w:rsid w:val="00FC6E06"/>
    <w:rsid w:val="00FC7FB4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  <w:rsid w:val="00FF674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0BD98"/>
  <w15:docId w15:val="{2984A813-7F81-433B-8783-D7A1967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paragraph" w:customStyle="1" w:styleId="s11">
    <w:name w:val="s11"/>
    <w:basedOn w:val="Normalny"/>
    <w:rsid w:val="00975D50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pl-PL"/>
    </w:rPr>
  </w:style>
  <w:style w:type="character" w:customStyle="1" w:styleId="bumpedfont15">
    <w:name w:val="bumpedfont15"/>
    <w:basedOn w:val="Domylnaczcionkaakapitu"/>
    <w:rsid w:val="00975D50"/>
  </w:style>
  <w:style w:type="character" w:customStyle="1" w:styleId="bumpedfont17">
    <w:name w:val="bumpedfont17"/>
    <w:basedOn w:val="Domylnaczcionkaakapitu"/>
    <w:rsid w:val="0097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adydlakonsumentow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rezes-uokik-wzial-pod-lupe-firmy-organizujace-pokazy-handlow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ip.warszawa.so.gov.pl/artykuly/296/xvii-wydzial-sad-ochrony-konkurencji-i-konsumentow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18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28B3-A56C-47A9-B12E-71D0CC0612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3FFD6D-48B1-4EF8-AE0F-FB21CDFE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Bartosz Klimczuk</cp:lastModifiedBy>
  <cp:revision>5</cp:revision>
  <cp:lastPrinted>2024-02-29T12:06:00Z</cp:lastPrinted>
  <dcterms:created xsi:type="dcterms:W3CDTF">2025-01-22T11:40:00Z</dcterms:created>
  <dcterms:modified xsi:type="dcterms:W3CDTF">2025-02-04T19:41:00Z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61153752-139f-40cc-9b44-2083e4d80053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