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F9BC0" w14:textId="5DFF7151" w:rsidR="005639A6" w:rsidRPr="00D00D09" w:rsidRDefault="00BB405C" w:rsidP="005639A6">
      <w:pPr>
        <w:spacing w:after="240" w:line="360" w:lineRule="auto"/>
        <w:rPr>
          <w:color w:val="000000" w:themeColor="text1"/>
          <w:sz w:val="32"/>
          <w:szCs w:val="32"/>
        </w:rPr>
      </w:pPr>
      <w:bookmarkStart w:id="0" w:name="_Hlk184635866"/>
      <w:r>
        <w:rPr>
          <w:color w:val="000000" w:themeColor="text1"/>
          <w:sz w:val="32"/>
          <w:szCs w:val="32"/>
        </w:rPr>
        <w:t>Naciągane inwestycje w weksle – kara dla CK Investments</w:t>
      </w:r>
      <w:r w:rsidR="005639A6">
        <w:rPr>
          <w:color w:val="000000" w:themeColor="text1"/>
          <w:sz w:val="32"/>
          <w:szCs w:val="32"/>
        </w:rPr>
        <w:t xml:space="preserve"> </w:t>
      </w:r>
    </w:p>
    <w:p w14:paraId="72C6BF3B" w14:textId="5D05F53E" w:rsidR="00937AC1" w:rsidRPr="00937AC1" w:rsidRDefault="00937AC1" w:rsidP="00937AC1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  <w:sz w:val="22"/>
        </w:rPr>
      </w:pPr>
      <w:r w:rsidRPr="00937AC1">
        <w:rPr>
          <w:b/>
          <w:sz w:val="22"/>
        </w:rPr>
        <w:t>Prezes UOKiK uznał, że spółka CK Investments oferując "weksle inwestycyjne" złamała prawo.</w:t>
      </w:r>
    </w:p>
    <w:p w14:paraId="2108DFB9" w14:textId="77777777" w:rsidR="00307515" w:rsidRDefault="00937AC1" w:rsidP="00D81615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  <w:sz w:val="22"/>
        </w:rPr>
      </w:pPr>
      <w:r w:rsidRPr="00307515">
        <w:rPr>
          <w:b/>
          <w:sz w:val="22"/>
        </w:rPr>
        <w:t>Spółka przekonywała w ofercie, że zakup weksli to pewna i bezpieczna inwestycja z gwarancją</w:t>
      </w:r>
      <w:r w:rsidR="00307515" w:rsidRPr="00307515">
        <w:rPr>
          <w:b/>
          <w:sz w:val="22"/>
        </w:rPr>
        <w:t xml:space="preserve"> zainwestowanego kapitału.</w:t>
      </w:r>
    </w:p>
    <w:p w14:paraId="09FEF1B0" w14:textId="61FE5495" w:rsidR="00937AC1" w:rsidRPr="00307515" w:rsidRDefault="00937AC1" w:rsidP="00D81615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/>
          <w:sz w:val="22"/>
        </w:rPr>
      </w:pPr>
      <w:r w:rsidRPr="00307515">
        <w:rPr>
          <w:b/>
          <w:sz w:val="22"/>
        </w:rPr>
        <w:t xml:space="preserve">Za </w:t>
      </w:r>
      <w:r w:rsidR="00011769">
        <w:rPr>
          <w:b/>
          <w:sz w:val="22"/>
        </w:rPr>
        <w:t>stosowanie nieuczciwych praktyk</w:t>
      </w:r>
      <w:r w:rsidRPr="00307515">
        <w:rPr>
          <w:b/>
          <w:sz w:val="22"/>
        </w:rPr>
        <w:t xml:space="preserve"> spółka ma zapłacić </w:t>
      </w:r>
      <w:r w:rsidR="002C63D3" w:rsidRPr="00307515">
        <w:rPr>
          <w:b/>
          <w:sz w:val="22"/>
        </w:rPr>
        <w:t>blisko</w:t>
      </w:r>
      <w:r w:rsidRPr="00307515">
        <w:rPr>
          <w:b/>
          <w:sz w:val="22"/>
        </w:rPr>
        <w:t xml:space="preserve"> </w:t>
      </w:r>
      <w:r w:rsidR="002C63D3" w:rsidRPr="00307515">
        <w:rPr>
          <w:b/>
          <w:sz w:val="22"/>
        </w:rPr>
        <w:t>1,25</w:t>
      </w:r>
      <w:r w:rsidRPr="00307515">
        <w:rPr>
          <w:b/>
          <w:sz w:val="22"/>
        </w:rPr>
        <w:t xml:space="preserve"> </w:t>
      </w:r>
      <w:r w:rsidR="002C63D3" w:rsidRPr="00307515">
        <w:rPr>
          <w:b/>
          <w:sz w:val="22"/>
        </w:rPr>
        <w:t>mln</w:t>
      </w:r>
      <w:r w:rsidRPr="00307515">
        <w:rPr>
          <w:b/>
          <w:sz w:val="22"/>
        </w:rPr>
        <w:t xml:space="preserve"> zł kary.</w:t>
      </w:r>
    </w:p>
    <w:bookmarkEnd w:id="0"/>
    <w:p w14:paraId="148A9C25" w14:textId="6C66BA60" w:rsidR="00284269" w:rsidRDefault="005639A6" w:rsidP="005639A6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9C2AB9">
        <w:rPr>
          <w:b/>
          <w:color w:val="000000" w:themeColor="text1"/>
          <w:sz w:val="22"/>
        </w:rPr>
        <w:t xml:space="preserve">[Warszawa, </w:t>
      </w:r>
      <w:r w:rsidR="003D0DBA">
        <w:rPr>
          <w:b/>
          <w:color w:val="000000" w:themeColor="text1"/>
          <w:sz w:val="22"/>
        </w:rPr>
        <w:t>14</w:t>
      </w:r>
      <w:r w:rsidRPr="00D216D5">
        <w:rPr>
          <w:b/>
          <w:color w:val="000000" w:themeColor="text1"/>
          <w:sz w:val="22"/>
        </w:rPr>
        <w:t xml:space="preserve"> </w:t>
      </w:r>
      <w:r w:rsidR="003D0DBA">
        <w:rPr>
          <w:b/>
          <w:color w:val="000000" w:themeColor="text1"/>
          <w:sz w:val="22"/>
        </w:rPr>
        <w:t>stycznia</w:t>
      </w:r>
      <w:r>
        <w:rPr>
          <w:b/>
          <w:color w:val="000000" w:themeColor="text1"/>
          <w:sz w:val="22"/>
        </w:rPr>
        <w:t xml:space="preserve"> </w:t>
      </w:r>
      <w:r w:rsidRPr="009C2AB9">
        <w:rPr>
          <w:b/>
          <w:color w:val="000000" w:themeColor="text1"/>
          <w:sz w:val="22"/>
        </w:rPr>
        <w:t>202</w:t>
      </w:r>
      <w:r w:rsidR="003D0DBA">
        <w:rPr>
          <w:b/>
          <w:color w:val="000000" w:themeColor="text1"/>
          <w:sz w:val="22"/>
        </w:rPr>
        <w:t>5</w:t>
      </w:r>
      <w:bookmarkStart w:id="1" w:name="_GoBack"/>
      <w:bookmarkEnd w:id="1"/>
      <w:r w:rsidRPr="009C2AB9">
        <w:rPr>
          <w:b/>
          <w:color w:val="000000" w:themeColor="text1"/>
          <w:sz w:val="22"/>
        </w:rPr>
        <w:t xml:space="preserve"> r.] </w:t>
      </w:r>
      <w:r w:rsidR="00F21493" w:rsidRPr="00B80970">
        <w:rPr>
          <w:color w:val="000000" w:themeColor="text1"/>
          <w:sz w:val="22"/>
        </w:rPr>
        <w:t xml:space="preserve">Prezes UOKiK </w:t>
      </w:r>
      <w:r w:rsidR="00DB2D72" w:rsidRPr="00B80970">
        <w:rPr>
          <w:color w:val="000000" w:themeColor="text1"/>
          <w:sz w:val="22"/>
        </w:rPr>
        <w:t>zdecydował</w:t>
      </w:r>
      <w:r w:rsidR="00EC6DB0" w:rsidRPr="00B80970">
        <w:rPr>
          <w:color w:val="000000" w:themeColor="text1"/>
          <w:sz w:val="22"/>
        </w:rPr>
        <w:t xml:space="preserve"> o ukaraniu spółki </w:t>
      </w:r>
      <w:r w:rsidR="00DB2D72" w:rsidRPr="00B80970">
        <w:rPr>
          <w:color w:val="000000" w:themeColor="text1"/>
          <w:sz w:val="22"/>
        </w:rPr>
        <w:t xml:space="preserve">CK Investments </w:t>
      </w:r>
      <w:r w:rsidR="00EC6DB0" w:rsidRPr="00B80970">
        <w:rPr>
          <w:color w:val="000000" w:themeColor="text1"/>
          <w:sz w:val="22"/>
        </w:rPr>
        <w:t xml:space="preserve">za praktyki </w:t>
      </w:r>
      <w:r w:rsidR="00DB2D72" w:rsidRPr="00B80970">
        <w:rPr>
          <w:color w:val="000000" w:themeColor="text1"/>
          <w:sz w:val="22"/>
        </w:rPr>
        <w:t>narusz</w:t>
      </w:r>
      <w:r w:rsidR="00EC6DB0" w:rsidRPr="00B80970">
        <w:rPr>
          <w:color w:val="000000" w:themeColor="text1"/>
          <w:sz w:val="22"/>
        </w:rPr>
        <w:t>ające</w:t>
      </w:r>
      <w:r w:rsidR="00DB2D72" w:rsidRPr="00B80970">
        <w:rPr>
          <w:color w:val="000000" w:themeColor="text1"/>
          <w:sz w:val="22"/>
        </w:rPr>
        <w:t xml:space="preserve"> zbiorowe interesy konsumentów. </w:t>
      </w:r>
      <w:r w:rsidR="00115899">
        <w:rPr>
          <w:color w:val="000000" w:themeColor="text1"/>
          <w:sz w:val="22"/>
        </w:rPr>
        <w:t>Za p</w:t>
      </w:r>
      <w:r w:rsidR="00284269" w:rsidRPr="00B80970">
        <w:rPr>
          <w:color w:val="000000" w:themeColor="text1"/>
          <w:sz w:val="22"/>
        </w:rPr>
        <w:t xml:space="preserve">osługiwanie się wekslem w sposób sprzeczny z jego funkcją i rozpowszechnianie nieprawdziwych informacji co do gwarancji zwrotu kapitału przekazanego przez konsumentów warszawska spółka ma zapłacić łącznie prawie 1,25 mln zł </w:t>
      </w:r>
      <w:r w:rsidR="00D00BF1">
        <w:rPr>
          <w:color w:val="000000" w:themeColor="text1"/>
          <w:sz w:val="22"/>
        </w:rPr>
        <w:t xml:space="preserve">(1 249 395 zł) </w:t>
      </w:r>
      <w:r w:rsidR="00284269" w:rsidRPr="00B80970">
        <w:rPr>
          <w:color w:val="000000" w:themeColor="text1"/>
          <w:sz w:val="22"/>
        </w:rPr>
        <w:t>kary</w:t>
      </w:r>
      <w:r w:rsidR="005F5518" w:rsidRPr="00B80970">
        <w:rPr>
          <w:color w:val="000000" w:themeColor="text1"/>
          <w:sz w:val="22"/>
        </w:rPr>
        <w:t>.</w:t>
      </w:r>
      <w:r w:rsidR="005F5518">
        <w:rPr>
          <w:b/>
          <w:color w:val="000000" w:themeColor="text1"/>
          <w:sz w:val="22"/>
        </w:rPr>
        <w:t xml:space="preserve"> </w:t>
      </w:r>
    </w:p>
    <w:p w14:paraId="2494FB8E" w14:textId="77777777" w:rsidR="00EC6DB0" w:rsidRDefault="00241448" w:rsidP="005639A6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Weksel inwestycyjny, czyli co</w:t>
      </w:r>
      <w:r w:rsidR="00A233A9">
        <w:rPr>
          <w:b/>
          <w:color w:val="000000" w:themeColor="text1"/>
          <w:sz w:val="22"/>
        </w:rPr>
        <w:t>?</w:t>
      </w:r>
      <w:r w:rsidR="00284269">
        <w:rPr>
          <w:b/>
          <w:color w:val="000000" w:themeColor="text1"/>
          <w:sz w:val="22"/>
        </w:rPr>
        <w:t xml:space="preserve"> </w:t>
      </w:r>
    </w:p>
    <w:p w14:paraId="02832E56" w14:textId="344A6F96" w:rsidR="00BB405C" w:rsidRDefault="00EC6DB0" w:rsidP="005639A6">
      <w:pPr>
        <w:spacing w:after="240" w:line="360" w:lineRule="auto"/>
        <w:jc w:val="both"/>
        <w:rPr>
          <w:sz w:val="22"/>
        </w:rPr>
      </w:pPr>
      <w:r w:rsidRPr="00115899">
        <w:rPr>
          <w:color w:val="000000" w:themeColor="text1"/>
          <w:sz w:val="22"/>
        </w:rPr>
        <w:t xml:space="preserve">CK Investments </w:t>
      </w:r>
      <w:r w:rsidR="00307515">
        <w:rPr>
          <w:color w:val="000000" w:themeColor="text1"/>
          <w:sz w:val="22"/>
        </w:rPr>
        <w:t>działa na</w:t>
      </w:r>
      <w:r w:rsidR="00307515">
        <w:rPr>
          <w:sz w:val="22"/>
        </w:rPr>
        <w:t xml:space="preserve"> rynku nieruchomości.</w:t>
      </w:r>
      <w:r w:rsidR="00B25FDD" w:rsidRPr="00B25FDD">
        <w:rPr>
          <w:sz w:val="22"/>
        </w:rPr>
        <w:t xml:space="preserve"> </w:t>
      </w:r>
      <w:r w:rsidR="00BB405C">
        <w:rPr>
          <w:sz w:val="22"/>
        </w:rPr>
        <w:t>W lipcu 2019</w:t>
      </w:r>
      <w:r w:rsidR="0022766C">
        <w:rPr>
          <w:sz w:val="22"/>
        </w:rPr>
        <w:t xml:space="preserve"> r. f</w:t>
      </w:r>
      <w:r w:rsidR="00BB405C">
        <w:rPr>
          <w:sz w:val="22"/>
        </w:rPr>
        <w:t xml:space="preserve">irma </w:t>
      </w:r>
      <w:r w:rsidR="0022766C">
        <w:rPr>
          <w:sz w:val="22"/>
        </w:rPr>
        <w:t xml:space="preserve">zaczęła pozyskiwać kapitał </w:t>
      </w:r>
      <w:r>
        <w:rPr>
          <w:sz w:val="22"/>
        </w:rPr>
        <w:t xml:space="preserve">zachęcając do kupowania </w:t>
      </w:r>
      <w:r w:rsidR="0022766C">
        <w:rPr>
          <w:sz w:val="22"/>
        </w:rPr>
        <w:t>tzw. weksl</w:t>
      </w:r>
      <w:r>
        <w:rPr>
          <w:sz w:val="22"/>
        </w:rPr>
        <w:t>i</w:t>
      </w:r>
      <w:r w:rsidR="0022766C">
        <w:rPr>
          <w:sz w:val="22"/>
        </w:rPr>
        <w:t xml:space="preserve"> inwestycyjn</w:t>
      </w:r>
      <w:r>
        <w:rPr>
          <w:sz w:val="22"/>
        </w:rPr>
        <w:t>ych</w:t>
      </w:r>
      <w:r w:rsidR="00483913">
        <w:rPr>
          <w:sz w:val="22"/>
        </w:rPr>
        <w:t>.</w:t>
      </w:r>
      <w:r w:rsidR="00307515">
        <w:rPr>
          <w:sz w:val="22"/>
        </w:rPr>
        <w:t xml:space="preserve"> </w:t>
      </w:r>
      <w:r w:rsidR="00307515" w:rsidRPr="00A233A9">
        <w:rPr>
          <w:sz w:val="22"/>
        </w:rPr>
        <w:t>Spółka promowała swoje weksle jako „prosty i szybki produkt inwestycyjny będący alternatywą dla tradycyjnych lokat bankowych, obligacji skarbowych czy funduszy inwestycyjnych dający stałe i wysokie oprocentowanie</w:t>
      </w:r>
      <w:r w:rsidR="00307515">
        <w:rPr>
          <w:sz w:val="22"/>
        </w:rPr>
        <w:t>”.</w:t>
      </w:r>
    </w:p>
    <w:p w14:paraId="7D95521C" w14:textId="4E575243" w:rsidR="00483913" w:rsidRDefault="00A03870" w:rsidP="005639A6">
      <w:pPr>
        <w:spacing w:after="240" w:line="360" w:lineRule="auto"/>
        <w:jc w:val="both"/>
        <w:rPr>
          <w:rFonts w:cs="Arial"/>
          <w:color w:val="000000"/>
          <w:sz w:val="22"/>
          <w:shd w:val="clear" w:color="auto" w:fill="FFFFFF"/>
        </w:rPr>
      </w:pPr>
      <w:r>
        <w:rPr>
          <w:sz w:val="22"/>
        </w:rPr>
        <w:t>- Nasze</w:t>
      </w:r>
      <w:r w:rsidR="00483913">
        <w:rPr>
          <w:sz w:val="22"/>
        </w:rPr>
        <w:t xml:space="preserve"> prawo nie zna pojęcia „weksla inwestycyjnego”. </w:t>
      </w:r>
      <w:r w:rsidR="00417CFA">
        <w:rPr>
          <w:sz w:val="22"/>
        </w:rPr>
        <w:t>Zostało ono</w:t>
      </w:r>
      <w:r w:rsidR="00483913">
        <w:rPr>
          <w:sz w:val="22"/>
        </w:rPr>
        <w:t xml:space="preserve"> wymyślone przez przedsiębiorców na określenie produktu umożliwiającego im pozyskanie kapitału, który normalnie musieliby zdobyć np. </w:t>
      </w:r>
      <w:r w:rsidR="0044333A">
        <w:rPr>
          <w:sz w:val="22"/>
        </w:rPr>
        <w:t xml:space="preserve">w bankach czy </w:t>
      </w:r>
      <w:r w:rsidR="00307515">
        <w:rPr>
          <w:sz w:val="22"/>
        </w:rPr>
        <w:t xml:space="preserve">poprzez emisję instrumentów finansowych </w:t>
      </w:r>
      <w:r>
        <w:rPr>
          <w:sz w:val="22"/>
        </w:rPr>
        <w:t xml:space="preserve">– zaznacza </w:t>
      </w:r>
      <w:r w:rsidRPr="00F62371">
        <w:rPr>
          <w:rFonts w:cs="Arial"/>
          <w:color w:val="000000"/>
          <w:sz w:val="22"/>
          <w:shd w:val="clear" w:color="auto" w:fill="FFFFFF"/>
        </w:rPr>
        <w:t xml:space="preserve">Prezes UOKiK Tomasz </w:t>
      </w:r>
      <w:r w:rsidRPr="00A233A9">
        <w:rPr>
          <w:rFonts w:cs="Arial"/>
          <w:color w:val="000000"/>
          <w:sz w:val="22"/>
          <w:shd w:val="clear" w:color="auto" w:fill="FFFFFF"/>
        </w:rPr>
        <w:t>Chróstny.</w:t>
      </w:r>
    </w:p>
    <w:p w14:paraId="02C7808D" w14:textId="77777777" w:rsidR="00241448" w:rsidRPr="00241448" w:rsidRDefault="00241448" w:rsidP="001C3F4B">
      <w:pPr>
        <w:spacing w:after="240" w:line="360" w:lineRule="auto"/>
        <w:jc w:val="both"/>
        <w:rPr>
          <w:b/>
          <w:sz w:val="22"/>
        </w:rPr>
      </w:pPr>
      <w:r w:rsidRPr="00241448">
        <w:rPr>
          <w:b/>
          <w:sz w:val="22"/>
        </w:rPr>
        <w:t>Gwarancja wysokiego ryzyka</w:t>
      </w:r>
    </w:p>
    <w:p w14:paraId="03C13E88" w14:textId="2405CDF2" w:rsidR="00A56A35" w:rsidRDefault="00241448" w:rsidP="00122C8C">
      <w:pPr>
        <w:spacing w:after="240" w:line="360" w:lineRule="auto"/>
        <w:jc w:val="both"/>
        <w:rPr>
          <w:sz w:val="22"/>
        </w:rPr>
      </w:pPr>
      <w:r>
        <w:rPr>
          <w:sz w:val="22"/>
        </w:rPr>
        <w:t>Promując ofertę</w:t>
      </w:r>
      <w:r w:rsidR="00A56A35">
        <w:rPr>
          <w:sz w:val="22"/>
        </w:rPr>
        <w:t xml:space="preserve"> wekslową</w:t>
      </w:r>
      <w:r>
        <w:rPr>
          <w:sz w:val="22"/>
        </w:rPr>
        <w:t xml:space="preserve">, </w:t>
      </w:r>
      <w:r w:rsidR="007819B6">
        <w:rPr>
          <w:sz w:val="22"/>
        </w:rPr>
        <w:t xml:space="preserve">spółka </w:t>
      </w:r>
      <w:r w:rsidR="00A56A35">
        <w:rPr>
          <w:sz w:val="22"/>
        </w:rPr>
        <w:t>CK Investments</w:t>
      </w:r>
      <w:r>
        <w:rPr>
          <w:sz w:val="22"/>
        </w:rPr>
        <w:t xml:space="preserve"> z</w:t>
      </w:r>
      <w:r w:rsidR="00115899" w:rsidRPr="001C3F4B">
        <w:rPr>
          <w:sz w:val="22"/>
        </w:rPr>
        <w:t>apewniała</w:t>
      </w:r>
      <w:r w:rsidR="00307515">
        <w:rPr>
          <w:sz w:val="22"/>
        </w:rPr>
        <w:t xml:space="preserve"> o gwarancji zwrotu środków na koniec inwestycji. </w:t>
      </w:r>
      <w:r w:rsidR="00A56A35" w:rsidRPr="00122C8C">
        <w:rPr>
          <w:sz w:val="22"/>
        </w:rPr>
        <w:t xml:space="preserve">W trakcie postępowania ustalono, że środki pozyskane ze sprzedaży weksli stanowiły główne źródło finansowania </w:t>
      </w:r>
      <w:r w:rsidR="00307515">
        <w:rPr>
          <w:sz w:val="22"/>
        </w:rPr>
        <w:t>prowadzonej przez spółkę działalności gospodarczej</w:t>
      </w:r>
      <w:r w:rsidR="00A56A35" w:rsidRPr="00122C8C">
        <w:rPr>
          <w:sz w:val="22"/>
        </w:rPr>
        <w:t>.</w:t>
      </w:r>
    </w:p>
    <w:p w14:paraId="27888D2C" w14:textId="56A310FF" w:rsidR="001C3F4B" w:rsidRPr="00307515" w:rsidRDefault="003E6ED0" w:rsidP="001C12AF">
      <w:pPr>
        <w:spacing w:line="360" w:lineRule="auto"/>
        <w:jc w:val="both"/>
        <w:rPr>
          <w:sz w:val="22"/>
        </w:rPr>
      </w:pPr>
      <w:bookmarkStart w:id="2" w:name="_Hlk184657363"/>
      <w:r>
        <w:rPr>
          <w:sz w:val="22"/>
        </w:rPr>
        <w:t xml:space="preserve">- </w:t>
      </w:r>
      <w:r w:rsidR="00307515">
        <w:rPr>
          <w:rStyle w:val="Uwydatnienie"/>
          <w:rFonts w:cs="Tahoma"/>
          <w:i w:val="0"/>
          <w:sz w:val="22"/>
          <w:shd w:val="clear" w:color="auto" w:fill="FFFFFF"/>
        </w:rPr>
        <w:t>Z</w:t>
      </w:r>
      <w:r w:rsidR="00307515" w:rsidRPr="000C0FD2">
        <w:rPr>
          <w:rStyle w:val="Uwydatnienie"/>
          <w:rFonts w:cs="Tahoma"/>
          <w:i w:val="0"/>
          <w:sz w:val="22"/>
          <w:shd w:val="clear" w:color="auto" w:fill="FFFFFF"/>
        </w:rPr>
        <w:t xml:space="preserve">apewnianie o gwarantowanych korzyściach finansowych z przedsięwzięcia mogło wpłynąć na decyzje konsumentów odnośnie powierzenia swoich pieniędzy </w:t>
      </w:r>
      <w:r w:rsidR="00307515">
        <w:rPr>
          <w:rStyle w:val="Uwydatnienie"/>
          <w:rFonts w:cs="Tahoma"/>
          <w:i w:val="0"/>
          <w:sz w:val="22"/>
          <w:shd w:val="clear" w:color="auto" w:fill="FFFFFF"/>
        </w:rPr>
        <w:t>CK Investments</w:t>
      </w:r>
      <w:r w:rsidR="00307515" w:rsidRPr="000C0FD2">
        <w:rPr>
          <w:rStyle w:val="Uwydatnienie"/>
          <w:rFonts w:cs="Tahoma"/>
          <w:i w:val="0"/>
          <w:sz w:val="22"/>
          <w:shd w:val="clear" w:color="auto" w:fill="FFFFFF"/>
        </w:rPr>
        <w:t xml:space="preserve">. </w:t>
      </w:r>
      <w:r w:rsidR="00307515">
        <w:rPr>
          <w:sz w:val="22"/>
        </w:rPr>
        <w:t xml:space="preserve">Mimo obietnic nie było mowy </w:t>
      </w:r>
      <w:r w:rsidR="001C12AF">
        <w:rPr>
          <w:sz w:val="22"/>
        </w:rPr>
        <w:t xml:space="preserve">ani o gwarantowanych zyskach, ani nawet o gwarancji zwrotu </w:t>
      </w:r>
      <w:r w:rsidR="001C12AF">
        <w:rPr>
          <w:sz w:val="22"/>
        </w:rPr>
        <w:lastRenderedPageBreak/>
        <w:t>wpłaconych środków</w:t>
      </w:r>
      <w:r w:rsidR="00307515">
        <w:rPr>
          <w:sz w:val="22"/>
        </w:rPr>
        <w:t xml:space="preserve">. </w:t>
      </w:r>
      <w:r w:rsidR="00307515" w:rsidRPr="000C0FD2">
        <w:rPr>
          <w:rStyle w:val="Uwydatnienie"/>
          <w:rFonts w:cs="Tahoma"/>
          <w:i w:val="0"/>
          <w:sz w:val="22"/>
          <w:shd w:val="clear" w:color="auto" w:fill="FFFFFF"/>
        </w:rPr>
        <w:t>Gdyby konsumenci nie byli wprowadzani w błąd, mogliby inaczej zarządzić swoimi oszczędnościami</w:t>
      </w:r>
      <w:r w:rsidR="001C12AF">
        <w:rPr>
          <w:sz w:val="22"/>
        </w:rPr>
        <w:t xml:space="preserve"> </w:t>
      </w:r>
      <w:r w:rsidR="001C12AF" w:rsidRPr="00F62371">
        <w:rPr>
          <w:rFonts w:cs="Arial"/>
          <w:color w:val="000000"/>
          <w:sz w:val="22"/>
          <w:shd w:val="clear" w:color="auto" w:fill="FFFFFF"/>
        </w:rPr>
        <w:t>– mówi Prezes UOKiK Tomasz Chróstny.</w:t>
      </w:r>
      <w:bookmarkEnd w:id="2"/>
    </w:p>
    <w:p w14:paraId="3C9C9971" w14:textId="77AA9567" w:rsidR="00B80970" w:rsidRPr="00877D1D" w:rsidRDefault="001C12AF" w:rsidP="00A56A35">
      <w:pPr>
        <w:shd w:val="clear" w:color="auto" w:fill="FFFFFF"/>
        <w:spacing w:after="225" w:line="432" w:lineRule="atLeast"/>
        <w:rPr>
          <w:rFonts w:cs="Arial"/>
          <w:color w:val="000000"/>
          <w:sz w:val="22"/>
          <w:lang w:eastAsia="pl-PL"/>
        </w:rPr>
      </w:pPr>
      <w:r w:rsidRPr="00011769">
        <w:rPr>
          <w:rFonts w:cs="Arial"/>
          <w:color w:val="000000"/>
          <w:sz w:val="22"/>
          <w:lang w:eastAsia="pl-PL"/>
        </w:rPr>
        <w:t>Decyzja</w:t>
      </w:r>
      <w:r w:rsidR="00A56A35" w:rsidRPr="00011769">
        <w:rPr>
          <w:rFonts w:cs="Arial"/>
          <w:color w:val="000000"/>
          <w:sz w:val="22"/>
          <w:lang w:eastAsia="pl-PL"/>
        </w:rPr>
        <w:t xml:space="preserve"> </w:t>
      </w:r>
      <w:r w:rsidRPr="0068727F">
        <w:rPr>
          <w:rFonts w:cs="Arial"/>
          <w:color w:val="000000"/>
          <w:sz w:val="22"/>
          <w:lang w:eastAsia="pl-PL"/>
        </w:rPr>
        <w:t>nie jest prawomocna – przysługuje od niej odwołanie do Sądu Ochrony Konkurencji i Konsumentów.</w:t>
      </w:r>
      <w:r w:rsidR="00A56A35" w:rsidRPr="00877D1D">
        <w:rPr>
          <w:rFonts w:cs="Arial"/>
          <w:color w:val="000000"/>
          <w:sz w:val="22"/>
          <w:lang w:eastAsia="pl-PL"/>
        </w:rPr>
        <w:t xml:space="preserve"> </w:t>
      </w:r>
      <w:r w:rsidRPr="00877D1D">
        <w:rPr>
          <w:sz w:val="22"/>
          <w:lang w:eastAsia="pl-PL"/>
        </w:rPr>
        <w:t xml:space="preserve">Jeśli się uprawomocni, firma powinna </w:t>
      </w:r>
      <w:r w:rsidR="00A56A35" w:rsidRPr="00877D1D">
        <w:rPr>
          <w:sz w:val="22"/>
          <w:lang w:eastAsia="pl-PL"/>
        </w:rPr>
        <w:t xml:space="preserve">poinformować o niej na swojej stronie internetowej oraz rozesłać pisemne powiadomienia </w:t>
      </w:r>
      <w:r w:rsidR="00A56A35" w:rsidRPr="00877D1D">
        <w:rPr>
          <w:b/>
          <w:color w:val="000000" w:themeColor="text1"/>
          <w:sz w:val="22"/>
        </w:rPr>
        <w:t xml:space="preserve">do </w:t>
      </w:r>
      <w:r w:rsidR="00B80970" w:rsidRPr="00877D1D">
        <w:rPr>
          <w:sz w:val="22"/>
        </w:rPr>
        <w:t xml:space="preserve">wszystkich konsumentów, którzy kupili weksle CK Investments w okresie od 8 lipca 2019 r. do 1 stycznia 2023 r. </w:t>
      </w:r>
    </w:p>
    <w:p w14:paraId="5EB75054" w14:textId="77777777" w:rsidR="00446B4B" w:rsidRDefault="00A56A35" w:rsidP="00446B4B">
      <w:pPr>
        <w:pStyle w:val="NormalnyWeb"/>
        <w:spacing w:line="360" w:lineRule="auto"/>
        <w:jc w:val="both"/>
        <w:rPr>
          <w:rFonts w:ascii="Trebuchet MS" w:hAnsi="Trebuchet MS" w:cs="Arial"/>
          <w:b/>
          <w:color w:val="000000"/>
          <w:sz w:val="22"/>
          <w:szCs w:val="22"/>
        </w:rPr>
      </w:pPr>
      <w:r w:rsidRPr="00877D1D">
        <w:rPr>
          <w:rFonts w:ascii="Trebuchet MS" w:hAnsi="Trebuchet MS" w:cs="Arial"/>
          <w:b/>
          <w:color w:val="000000"/>
          <w:sz w:val="22"/>
          <w:szCs w:val="22"/>
        </w:rPr>
        <w:t>Wekslowe inwestycje pod lupą Prezesa UOKiK!</w:t>
      </w:r>
    </w:p>
    <w:p w14:paraId="39917CE9" w14:textId="77777777" w:rsidR="00A56A35" w:rsidRPr="00446B4B" w:rsidRDefault="00446B4B" w:rsidP="00446B4B">
      <w:pPr>
        <w:pStyle w:val="NormalnyWeb"/>
        <w:spacing w:line="360" w:lineRule="auto"/>
        <w:jc w:val="both"/>
        <w:rPr>
          <w:rFonts w:ascii="Trebuchet MS" w:hAnsi="Trebuchet MS" w:cs="Arial"/>
          <w:b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Działań</w:t>
      </w:r>
      <w:r w:rsidR="00A56A35" w:rsidRPr="00877D1D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Urzędu w sprawie „weksli inwestycyjnych”</w:t>
      </w:r>
      <w:r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jest więcej</w:t>
      </w:r>
      <w:r w:rsidR="00A56A35" w:rsidRPr="00877D1D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. </w:t>
      </w:r>
      <w:r w:rsidR="00A56A35" w:rsidRPr="00877D1D">
        <w:rPr>
          <w:rFonts w:ascii="Trebuchet MS" w:hAnsi="Trebuchet MS" w:cs="Arial"/>
          <w:color w:val="000000"/>
          <w:sz w:val="22"/>
          <w:szCs w:val="22"/>
        </w:rPr>
        <w:t>Trwa postępowani</w:t>
      </w:r>
      <w:r>
        <w:rPr>
          <w:rFonts w:ascii="Trebuchet MS" w:hAnsi="Trebuchet MS" w:cs="Arial"/>
          <w:color w:val="000000"/>
          <w:sz w:val="22"/>
          <w:szCs w:val="22"/>
        </w:rPr>
        <w:t>e</w:t>
      </w:r>
      <w:r w:rsidR="00A56A35" w:rsidRPr="00877D1D">
        <w:rPr>
          <w:rFonts w:ascii="Trebuchet MS" w:hAnsi="Trebuchet MS" w:cs="Arial"/>
          <w:color w:val="000000"/>
          <w:sz w:val="22"/>
          <w:szCs w:val="22"/>
        </w:rPr>
        <w:t xml:space="preserve"> wyjaśniające w sprawie spółki Credit Royal.  </w:t>
      </w:r>
    </w:p>
    <w:p w14:paraId="1D71BAAF" w14:textId="30F42CFD" w:rsidR="00D00BF1" w:rsidRPr="00726BA1" w:rsidRDefault="00E42F8F" w:rsidP="00877D1D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</w:pPr>
      <w:r w:rsidRPr="00E42F8F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W kwietniu 2023 r. </w:t>
      </w:r>
      <w:r w:rsidR="00726BA1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P</w:t>
      </w:r>
      <w:r w:rsidRPr="00E42F8F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rezes UOKiK wydał  ostrzeżenie konsumenckie</w:t>
      </w:r>
      <w:hyperlink r:id="rId8" w:history="1">
        <w:r w:rsidRPr="00E42F8F">
          <w:rPr>
            <w:rFonts w:ascii="Trebuchet MS" w:hAnsi="Trebuchet MS" w:cs="Arial"/>
            <w:color w:val="000000"/>
            <w:sz w:val="22"/>
            <w:szCs w:val="22"/>
          </w:rPr>
          <w:t> </w:t>
        </w:r>
      </w:hyperlink>
      <w:r w:rsidRPr="00E42F8F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wskazując, że Assay Management Alternatywna Spółka Inwestycyjna (Assay ASI) posługuje się wekslem w sposób sprzeczny z jego funkcją, przez co istnieje duże ryzyko utraty przez konsumentów zainwestowanych środków.</w:t>
      </w:r>
      <w:r w:rsidR="00726BA1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</w:t>
      </w:r>
      <w:r w:rsidR="00877D1D" w:rsidRPr="00877D1D">
        <w:rPr>
          <w:rFonts w:ascii="Trebuchet MS" w:hAnsi="Trebuchet MS" w:cs="Tahoma"/>
          <w:sz w:val="22"/>
          <w:szCs w:val="22"/>
          <w:shd w:val="clear" w:color="auto" w:fill="FFFFFF"/>
        </w:rPr>
        <w:t>W lutym 2024 r. Prezes UOKiK wydał dwie decyzje nakładając na Assay ASI i osoby zarządzające spółką kary za ofertę „Porozumienia wekslowego” – łącznie ponad 1,3 mln zł</w:t>
      </w:r>
      <w:r w:rsidR="00877D1D" w:rsidRPr="00877D1D">
        <w:rPr>
          <w:rFonts w:ascii="Trebuchet MS" w:hAnsi="Trebuchet MS" w:cs="Arial"/>
          <w:color w:val="000000"/>
          <w:sz w:val="22"/>
          <w:szCs w:val="22"/>
        </w:rPr>
        <w:t>.</w:t>
      </w:r>
      <w:r w:rsidR="00307515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307515" w:rsidRPr="00877D1D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Karą (ponad 650 tys. zł) zakończyło się</w:t>
      </w:r>
      <w:r w:rsidR="00726BA1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również</w:t>
      </w:r>
      <w:r w:rsidR="00307515" w:rsidRPr="00877D1D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 </w:t>
      </w:r>
      <w:hyperlink r:id="rId9" w:history="1">
        <w:r w:rsidR="00307515" w:rsidRPr="00877D1D">
          <w:rPr>
            <w:rStyle w:val="Hipercze"/>
            <w:rFonts w:ascii="Trebuchet MS" w:hAnsi="Trebuchet MS" w:cs="Arial"/>
            <w:color w:val="004183"/>
            <w:sz w:val="22"/>
            <w:szCs w:val="22"/>
            <w:shd w:val="clear" w:color="auto" w:fill="FFFFFF"/>
          </w:rPr>
          <w:t>postępowanie </w:t>
        </w:r>
      </w:hyperlink>
      <w:r w:rsidR="00307515" w:rsidRPr="00877D1D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wobec Assay Management</w:t>
      </w:r>
      <w:r w:rsidR="00307515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, </w:t>
      </w:r>
      <w:r w:rsidR="00307515" w:rsidRPr="00877D1D">
        <w:rPr>
          <w:rFonts w:ascii="Trebuchet MS" w:hAnsi="Trebuchet MS"/>
          <w:sz w:val="22"/>
          <w:szCs w:val="22"/>
        </w:rPr>
        <w:t>która pozyskiwała klientów na rzecz Assay ASI.</w:t>
      </w:r>
    </w:p>
    <w:p w14:paraId="2F137C5B" w14:textId="392115AB" w:rsidR="00877D1D" w:rsidRPr="00877D1D" w:rsidRDefault="00A56A35" w:rsidP="00877D1D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877D1D">
        <w:rPr>
          <w:rFonts w:ascii="Trebuchet MS" w:hAnsi="Trebuchet MS" w:cs="Arial"/>
          <w:color w:val="000000"/>
          <w:sz w:val="22"/>
          <w:szCs w:val="22"/>
        </w:rPr>
        <w:t>W 2023 r</w:t>
      </w:r>
      <w:r w:rsidR="00877D1D" w:rsidRPr="00877D1D">
        <w:rPr>
          <w:rFonts w:ascii="Trebuchet MS" w:hAnsi="Trebuchet MS" w:cs="Arial"/>
          <w:color w:val="000000"/>
          <w:sz w:val="22"/>
          <w:szCs w:val="22"/>
        </w:rPr>
        <w:t>.</w:t>
      </w:r>
      <w:r w:rsidR="00726BA1">
        <w:rPr>
          <w:rFonts w:ascii="Trebuchet MS" w:hAnsi="Trebuchet MS" w:cs="Arial"/>
          <w:color w:val="000000"/>
          <w:sz w:val="22"/>
          <w:szCs w:val="22"/>
        </w:rPr>
        <w:t xml:space="preserve"> Prezes UOKiK</w:t>
      </w:r>
      <w:r w:rsidRPr="00877D1D">
        <w:rPr>
          <w:rFonts w:ascii="Trebuchet MS" w:hAnsi="Trebuchet MS" w:cs="Arial"/>
          <w:color w:val="000000"/>
          <w:sz w:val="22"/>
          <w:szCs w:val="22"/>
        </w:rPr>
        <w:t xml:space="preserve"> </w:t>
      </w:r>
      <w:hyperlink r:id="rId10" w:history="1">
        <w:r w:rsidR="00446B4B">
          <w:rPr>
            <w:rStyle w:val="Hipercze"/>
            <w:rFonts w:ascii="Trebuchet MS" w:hAnsi="Trebuchet MS" w:cs="Arial"/>
            <w:color w:val="004183"/>
            <w:sz w:val="22"/>
            <w:szCs w:val="22"/>
          </w:rPr>
          <w:t>wydał decyzję </w:t>
        </w:r>
        <w:r w:rsidR="00D00BF1">
          <w:rPr>
            <w:rStyle w:val="Hipercze"/>
            <w:rFonts w:ascii="Trebuchet MS" w:hAnsi="Trebuchet MS" w:cs="Arial"/>
            <w:color w:val="004183"/>
            <w:sz w:val="22"/>
            <w:szCs w:val="22"/>
          </w:rPr>
          <w:t xml:space="preserve">z karą w wysokości ponad 790 tys. zł </w:t>
        </w:r>
        <w:r w:rsidR="00446B4B">
          <w:rPr>
            <w:rStyle w:val="Hipercze"/>
            <w:rFonts w:ascii="Trebuchet MS" w:hAnsi="Trebuchet MS" w:cs="Arial"/>
            <w:color w:val="004183"/>
            <w:sz w:val="22"/>
            <w:szCs w:val="22"/>
          </w:rPr>
          <w:t xml:space="preserve">w sprawie </w:t>
        </w:r>
        <w:r w:rsidR="00D00BF1">
          <w:rPr>
            <w:rStyle w:val="Hipercze"/>
            <w:rFonts w:ascii="Trebuchet MS" w:hAnsi="Trebuchet MS" w:cs="Arial"/>
            <w:color w:val="004183"/>
            <w:sz w:val="22"/>
            <w:szCs w:val="22"/>
          </w:rPr>
          <w:t xml:space="preserve">„Oferty wekslowej </w:t>
        </w:r>
        <w:r w:rsidR="00446B4B">
          <w:rPr>
            <w:rStyle w:val="Hipercze"/>
            <w:rFonts w:ascii="Trebuchet MS" w:hAnsi="Trebuchet MS" w:cs="Arial"/>
            <w:color w:val="004183"/>
            <w:sz w:val="22"/>
            <w:szCs w:val="22"/>
          </w:rPr>
          <w:t>spółki Aforti Holding</w:t>
        </w:r>
      </w:hyperlink>
      <w:r w:rsidR="00877D1D" w:rsidRPr="00877D1D">
        <w:rPr>
          <w:rFonts w:ascii="Trebuchet MS" w:hAnsi="Trebuchet MS" w:cs="Arial"/>
          <w:color w:val="000000"/>
          <w:sz w:val="22"/>
          <w:szCs w:val="22"/>
        </w:rPr>
        <w:t xml:space="preserve">. </w:t>
      </w:r>
    </w:p>
    <w:p w14:paraId="19966C0E" w14:textId="0C3F111B" w:rsidR="00A56A35" w:rsidRPr="00877D1D" w:rsidRDefault="00A56A35" w:rsidP="00877D1D">
      <w:pPr>
        <w:pStyle w:val="Bezodstpw"/>
        <w:spacing w:after="240" w:line="360" w:lineRule="auto"/>
        <w:jc w:val="both"/>
        <w:rPr>
          <w:rFonts w:ascii="Trebuchet MS" w:hAnsi="Trebuchet MS" w:cs="Arial"/>
          <w:color w:val="000000"/>
          <w:shd w:val="clear" w:color="auto" w:fill="FFFFFF"/>
        </w:rPr>
      </w:pPr>
      <w:r w:rsidRPr="00877D1D">
        <w:rPr>
          <w:rFonts w:ascii="Trebuchet MS" w:hAnsi="Trebuchet MS" w:cs="Arial"/>
          <w:color w:val="000000"/>
          <w:shd w:val="clear" w:color="auto" w:fill="FFFFFF"/>
        </w:rPr>
        <w:t>Pod koniec 2022 r. Prezes UOKiK wydał </w:t>
      </w:r>
      <w:hyperlink r:id="rId11" w:tgtFrame="_blank" w:history="1">
        <w:r w:rsidRPr="00877D1D">
          <w:rPr>
            <w:rStyle w:val="Hipercze"/>
            <w:rFonts w:ascii="Trebuchet MS" w:hAnsi="Trebuchet MS" w:cs="Arial"/>
            <w:color w:val="004183"/>
            <w:shd w:val="clear" w:color="auto" w:fill="FFFFFF"/>
          </w:rPr>
          <w:t>decyzję dotyczącą BREWE Leasing</w:t>
        </w:r>
      </w:hyperlink>
      <w:r w:rsidR="00446B4B">
        <w:rPr>
          <w:rFonts w:ascii="Trebuchet MS" w:hAnsi="Trebuchet MS"/>
        </w:rPr>
        <w:t>,</w:t>
      </w:r>
      <w:r w:rsidRPr="00877D1D">
        <w:rPr>
          <w:rFonts w:ascii="Trebuchet MS" w:hAnsi="Trebuchet MS" w:cs="Arial"/>
          <w:color w:val="000000"/>
          <w:shd w:val="clear" w:color="auto" w:fill="FFFFFF"/>
        </w:rPr>
        <w:t> </w:t>
      </w:r>
      <w:r w:rsidR="00446B4B">
        <w:rPr>
          <w:rFonts w:ascii="Trebuchet MS" w:hAnsi="Trebuchet MS" w:cs="Arial"/>
          <w:color w:val="000000"/>
          <w:shd w:val="clear" w:color="auto" w:fill="FFFFFF"/>
        </w:rPr>
        <w:t>nałożył</w:t>
      </w:r>
      <w:r w:rsidRPr="00877D1D">
        <w:rPr>
          <w:rFonts w:ascii="Trebuchet MS" w:hAnsi="Trebuchet MS" w:cs="Arial"/>
          <w:color w:val="000000"/>
          <w:shd w:val="clear" w:color="auto" w:fill="FFFFFF"/>
        </w:rPr>
        <w:t xml:space="preserve"> na tę spółkę ponad 150 tys. zł kary, a w czerwcu 2021 r. </w:t>
      </w:r>
      <w:hyperlink r:id="rId12" w:tgtFrame="_blank" w:history="1">
        <w:r w:rsidRPr="00877D1D">
          <w:rPr>
            <w:rStyle w:val="Hipercze"/>
            <w:rFonts w:ascii="Trebuchet MS" w:hAnsi="Trebuchet MS" w:cs="Arial"/>
            <w:color w:val="004183"/>
            <w:shd w:val="clear" w:color="auto" w:fill="FFFFFF"/>
          </w:rPr>
          <w:t>prawie 400 tys. zł kary na Fundusz Hipoteczny Yanok</w:t>
        </w:r>
      </w:hyperlink>
      <w:r w:rsidR="00E42F8F">
        <w:rPr>
          <w:rFonts w:ascii="Trebuchet MS" w:hAnsi="Trebuchet MS" w:cs="Arial"/>
          <w:color w:val="000000"/>
          <w:shd w:val="clear" w:color="auto" w:fill="FFFFFF"/>
        </w:rPr>
        <w:t xml:space="preserve">, co zostało podtrzymane </w:t>
      </w:r>
      <w:r w:rsidR="00E83CF6">
        <w:rPr>
          <w:rFonts w:ascii="Trebuchet MS" w:hAnsi="Trebuchet MS" w:cs="Arial"/>
          <w:color w:val="000000"/>
          <w:shd w:val="clear" w:color="auto" w:fill="FFFFFF"/>
        </w:rPr>
        <w:t xml:space="preserve">przez </w:t>
      </w:r>
      <w:r w:rsidR="00E42F8F">
        <w:rPr>
          <w:rFonts w:ascii="Trebuchet MS" w:hAnsi="Trebuchet MS" w:cs="Arial"/>
          <w:color w:val="000000"/>
          <w:shd w:val="clear" w:color="auto" w:fill="FFFFFF"/>
        </w:rPr>
        <w:t xml:space="preserve">Sąd Ochrony Konkurencji i Konsumentów. </w:t>
      </w:r>
    </w:p>
    <w:p w14:paraId="3ABC0305" w14:textId="77777777" w:rsidR="00446B4B" w:rsidRPr="00446B4B" w:rsidRDefault="00446B4B" w:rsidP="00877D1D">
      <w:pPr>
        <w:spacing w:after="240" w:line="360" w:lineRule="auto"/>
        <w:jc w:val="both"/>
        <w:rPr>
          <w:rFonts w:cs="Tahoma"/>
          <w:b/>
          <w:sz w:val="22"/>
          <w:shd w:val="clear" w:color="auto" w:fill="FFFFFF"/>
        </w:rPr>
      </w:pPr>
      <w:r w:rsidRPr="00446B4B">
        <w:rPr>
          <w:rFonts w:cs="Tahoma"/>
          <w:b/>
          <w:sz w:val="22"/>
          <w:shd w:val="clear" w:color="auto" w:fill="FFFFFF"/>
        </w:rPr>
        <w:t>Dowiedz się więcej</w:t>
      </w:r>
      <w:r>
        <w:rPr>
          <w:rFonts w:cs="Tahoma"/>
          <w:b/>
          <w:sz w:val="22"/>
          <w:shd w:val="clear" w:color="auto" w:fill="FFFFFF"/>
        </w:rPr>
        <w:t xml:space="preserve"> o wekslach inwestycyjnych</w:t>
      </w:r>
    </w:p>
    <w:p w14:paraId="59CC978E" w14:textId="77777777" w:rsidR="00A56A35" w:rsidRPr="00877D1D" w:rsidRDefault="00877D1D" w:rsidP="00877D1D">
      <w:pPr>
        <w:spacing w:after="240" w:line="360" w:lineRule="auto"/>
        <w:jc w:val="both"/>
        <w:rPr>
          <w:rFonts w:cs="Tahoma"/>
          <w:sz w:val="22"/>
          <w:shd w:val="clear" w:color="auto" w:fill="FFFFFF"/>
        </w:rPr>
      </w:pPr>
      <w:r w:rsidRPr="00877D1D">
        <w:rPr>
          <w:rFonts w:cs="Arial"/>
          <w:color w:val="000000"/>
          <w:sz w:val="22"/>
        </w:rPr>
        <w:t>O</w:t>
      </w:r>
      <w:r w:rsidR="00A56A35" w:rsidRPr="00877D1D">
        <w:rPr>
          <w:rFonts w:cs="Arial"/>
          <w:color w:val="000000"/>
          <w:sz w:val="22"/>
        </w:rPr>
        <w:t>dpowiedzi na </w:t>
      </w:r>
      <w:hyperlink r:id="rId13" w:history="1">
        <w:r w:rsidR="00A56A35" w:rsidRPr="00877D1D">
          <w:rPr>
            <w:rStyle w:val="Hipercze"/>
            <w:rFonts w:cs="Arial"/>
            <w:color w:val="004183"/>
            <w:sz w:val="22"/>
          </w:rPr>
          <w:t>najczęstsze pytania o „weksle inwestycyjne” </w:t>
        </w:r>
      </w:hyperlink>
      <w:r w:rsidRPr="00877D1D">
        <w:rPr>
          <w:rFonts w:cs="Arial"/>
          <w:color w:val="000000"/>
          <w:sz w:val="22"/>
        </w:rPr>
        <w:t xml:space="preserve">można znaleźć </w:t>
      </w:r>
      <w:r w:rsidR="00A56A35" w:rsidRPr="00877D1D">
        <w:rPr>
          <w:rFonts w:cs="Arial"/>
          <w:color w:val="000000"/>
          <w:sz w:val="22"/>
        </w:rPr>
        <w:t>na</w:t>
      </w:r>
      <w:r w:rsidRPr="00877D1D">
        <w:rPr>
          <w:rFonts w:cs="Arial"/>
          <w:color w:val="000000"/>
          <w:sz w:val="22"/>
        </w:rPr>
        <w:t xml:space="preserve"> </w:t>
      </w:r>
      <w:r w:rsidR="00A56A35" w:rsidRPr="00877D1D">
        <w:rPr>
          <w:rFonts w:cs="Arial"/>
          <w:color w:val="000000"/>
          <w:sz w:val="22"/>
        </w:rPr>
        <w:t>stronie </w:t>
      </w:r>
      <w:hyperlink r:id="rId14" w:history="1">
        <w:r w:rsidR="00A56A35" w:rsidRPr="00877D1D">
          <w:rPr>
            <w:rStyle w:val="Hipercze"/>
            <w:rFonts w:cs="Arial"/>
            <w:color w:val="004183"/>
            <w:sz w:val="22"/>
          </w:rPr>
          <w:t>finanse.uokik.gov.pl</w:t>
        </w:r>
        <w:r w:rsidR="00A56A35" w:rsidRPr="00877D1D">
          <w:rPr>
            <w:rStyle w:val="Hipercze"/>
            <w:rFonts w:cs="Arial"/>
            <w:color w:val="004183"/>
            <w:sz w:val="22"/>
            <w:u w:val="none"/>
          </w:rPr>
          <w:t> </w:t>
        </w:r>
      </w:hyperlink>
      <w:r w:rsidRPr="00877D1D">
        <w:rPr>
          <w:rFonts w:cs="Arial"/>
          <w:color w:val="000000"/>
          <w:sz w:val="22"/>
        </w:rPr>
        <w:t xml:space="preserve"> w dziale inwestycje alternatywne.</w:t>
      </w:r>
    </w:p>
    <w:p w14:paraId="6C1090DC" w14:textId="77777777" w:rsidR="00011769" w:rsidRPr="00975826" w:rsidRDefault="00011769" w:rsidP="00011769">
      <w:pPr>
        <w:spacing w:after="240" w:line="360" w:lineRule="auto"/>
        <w:jc w:val="both"/>
        <w:rPr>
          <w:rFonts w:eastAsia="Calibri" w:cs="Tahoma"/>
          <w:b/>
          <w:bCs/>
          <w:lang w:val="en"/>
        </w:rPr>
      </w:pPr>
      <w:r>
        <w:rPr>
          <w:rStyle w:val="Pogrubienie"/>
          <w:rFonts w:eastAsia="Calibri" w:cs="Tahoma"/>
          <w:lang w:val="en"/>
        </w:rPr>
        <w:t>Pomoc dla konsumentów:</w:t>
      </w:r>
    </w:p>
    <w:p w14:paraId="529226A1" w14:textId="77777777" w:rsidR="00011769" w:rsidRDefault="00011769" w:rsidP="00011769">
      <w:pPr>
        <w:rPr>
          <w:rFonts w:cs="Tahoma"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3" w:name="_Hlk120527957"/>
      <w:r>
        <w:rPr>
          <w:rFonts w:cs="Tahoma"/>
          <w:szCs w:val="18"/>
        </w:rPr>
        <w:t xml:space="preserve">801 440 220 lub 222 66 76 76 </w:t>
      </w:r>
      <w:bookmarkEnd w:id="3"/>
      <w:r>
        <w:rPr>
          <w:rFonts w:cs="Tahoma"/>
          <w:color w:val="3C4147"/>
          <w:szCs w:val="18"/>
        </w:rPr>
        <w:br/>
      </w:r>
      <w:r w:rsidRPr="00E34DBB">
        <w:t>formularz</w:t>
      </w:r>
      <w:r>
        <w:t xml:space="preserve"> kontaktowy</w:t>
      </w:r>
      <w:r w:rsidRPr="00E34DBB">
        <w:t xml:space="preserve">: </w:t>
      </w:r>
      <w:hyperlink r:id="rId15" w:tgtFrame="_blank" w:history="1">
        <w:r w:rsidRPr="00E34DBB">
          <w:rPr>
            <w:rFonts w:cs="Tahoma"/>
            <w:color w:val="133C8A"/>
            <w:szCs w:val="18"/>
            <w:u w:val="single"/>
          </w:rPr>
          <w:t>pora</w:t>
        </w:r>
        <w:r w:rsidRPr="00A16553">
          <w:rPr>
            <w:rFonts w:cs="Tahoma"/>
            <w:color w:val="133C8A"/>
            <w:szCs w:val="18"/>
            <w:u w:val="single"/>
          </w:rPr>
          <w:t>dydlakonsu</w:t>
        </w:r>
        <w:r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Pr="00E34DBB">
        <w:rPr>
          <w:rFonts w:cs="Tahoma"/>
          <w:color w:val="3C4147"/>
          <w:szCs w:val="18"/>
        </w:rPr>
        <w:br/>
      </w:r>
      <w:hyperlink r:id="rId16" w:history="1">
        <w:r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Pr="00E34DBB">
        <w:rPr>
          <w:rFonts w:cs="Tahoma"/>
          <w:color w:val="3C4147"/>
          <w:szCs w:val="18"/>
        </w:rPr>
        <w:t xml:space="preserve"> – </w:t>
      </w:r>
      <w:r w:rsidRPr="00E34DBB">
        <w:rPr>
          <w:rFonts w:cs="Tahoma"/>
          <w:szCs w:val="18"/>
        </w:rPr>
        <w:t>w twoim mieście lub powiecie</w:t>
      </w:r>
    </w:p>
    <w:p w14:paraId="3D2AB769" w14:textId="0A6940D6" w:rsidR="00443937" w:rsidRDefault="003D0DBA" w:rsidP="00726BA1">
      <w:pPr>
        <w:shd w:val="clear" w:color="auto" w:fill="FFFFFF"/>
        <w:spacing w:line="360" w:lineRule="auto"/>
      </w:pPr>
      <w:hyperlink r:id="rId17" w:history="1">
        <w:r w:rsidR="00011769" w:rsidRPr="005D0CE7">
          <w:rPr>
            <w:rFonts w:ascii="Tahoma" w:hAnsi="Tahoma" w:cs="Tahoma"/>
            <w:color w:val="133C8A"/>
            <w:szCs w:val="18"/>
            <w:u w:val="single"/>
          </w:rPr>
          <w:t>Rzecznik Finansowy</w:t>
        </w:r>
      </w:hyperlink>
      <w:r w:rsidR="00011769" w:rsidRPr="005D0CE7">
        <w:rPr>
          <w:rFonts w:ascii="Tahoma" w:hAnsi="Tahoma" w:cs="Tahoma"/>
          <w:sz w:val="24"/>
          <w:szCs w:val="18"/>
          <w:shd w:val="clear" w:color="auto" w:fill="FFFFFF"/>
        </w:rPr>
        <w:t xml:space="preserve"> </w:t>
      </w:r>
      <w:r w:rsidR="00011769" w:rsidRPr="005D0CE7">
        <w:rPr>
          <w:rFonts w:ascii="Tahoma" w:hAnsi="Tahoma" w:cs="Tahoma"/>
          <w:szCs w:val="18"/>
        </w:rPr>
        <w:t>–</w:t>
      </w:r>
      <w:r w:rsidR="00011769" w:rsidRPr="005D0CE7">
        <w:rPr>
          <w:rFonts w:ascii="Times New Roman" w:hAnsi="Times New Roman"/>
          <w:sz w:val="24"/>
          <w:szCs w:val="24"/>
        </w:rPr>
        <w:t xml:space="preserve"> </w:t>
      </w:r>
      <w:r w:rsidR="00011769" w:rsidRPr="005D0CE7">
        <w:rPr>
          <w:rFonts w:ascii="Tahoma" w:hAnsi="Tahoma" w:cs="Tahoma"/>
          <w:szCs w:val="18"/>
        </w:rPr>
        <w:t>po odrzuceniu reklamacji przez instytucję finansową</w:t>
      </w:r>
    </w:p>
    <w:sectPr w:rsidR="00443937" w:rsidSect="00726BA1">
      <w:headerReference w:type="default" r:id="rId18"/>
      <w:footerReference w:type="default" r:id="rId19"/>
      <w:pgSz w:w="11906" w:h="16838"/>
      <w:pgMar w:top="1843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4E9C7" w14:textId="77777777" w:rsidR="005C79EF" w:rsidRDefault="005C79EF" w:rsidP="005639A6">
      <w:r>
        <w:separator/>
      </w:r>
    </w:p>
  </w:endnote>
  <w:endnote w:type="continuationSeparator" w:id="0">
    <w:p w14:paraId="2EEEFCE7" w14:textId="77777777" w:rsidR="005C79EF" w:rsidRDefault="005C79EF" w:rsidP="0056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5C39" w14:textId="77777777" w:rsidR="00D51C53" w:rsidRPr="00B512B5" w:rsidRDefault="00972CBB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40B9C3" wp14:editId="34232C2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173DA5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</w:rPr>
      <w:t>603 124 154</w:t>
    </w:r>
  </w:p>
  <w:p w14:paraId="3FDBEAC5" w14:textId="77777777" w:rsidR="00D51C53" w:rsidRPr="00B512B5" w:rsidRDefault="00972CBB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F04B3" w14:textId="77777777" w:rsidR="005C79EF" w:rsidRDefault="005C79EF" w:rsidP="005639A6">
      <w:r>
        <w:separator/>
      </w:r>
    </w:p>
  </w:footnote>
  <w:footnote w:type="continuationSeparator" w:id="0">
    <w:p w14:paraId="1D7B2312" w14:textId="77777777" w:rsidR="005C79EF" w:rsidRDefault="005C79EF" w:rsidP="0056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01B4E" w14:textId="77777777" w:rsidR="00D51C53" w:rsidRDefault="00972CBB" w:rsidP="00D51C53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461F5561" wp14:editId="3B1B3804">
          <wp:extent cx="1400175" cy="54276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A6E78"/>
    <w:multiLevelType w:val="multilevel"/>
    <w:tmpl w:val="65783278"/>
    <w:lvl w:ilvl="0">
      <w:start w:val="1"/>
      <w:numFmt w:val="decimal"/>
      <w:lvlText w:val="[%1]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a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rebuchet MS" w:hAnsi="Trebuchet MS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A6"/>
    <w:rsid w:val="00011769"/>
    <w:rsid w:val="000C0FD2"/>
    <w:rsid w:val="00115899"/>
    <w:rsid w:val="00122C8C"/>
    <w:rsid w:val="00145FC4"/>
    <w:rsid w:val="00186CAF"/>
    <w:rsid w:val="001C0A38"/>
    <w:rsid w:val="001C12AF"/>
    <w:rsid w:val="001C3F4B"/>
    <w:rsid w:val="0022766C"/>
    <w:rsid w:val="00233C14"/>
    <w:rsid w:val="00241448"/>
    <w:rsid w:val="00284269"/>
    <w:rsid w:val="002C63D3"/>
    <w:rsid w:val="00307515"/>
    <w:rsid w:val="003D0DBA"/>
    <w:rsid w:val="003E1443"/>
    <w:rsid w:val="003E6ED0"/>
    <w:rsid w:val="004039FB"/>
    <w:rsid w:val="00417CFA"/>
    <w:rsid w:val="0044333A"/>
    <w:rsid w:val="00446B4B"/>
    <w:rsid w:val="00483913"/>
    <w:rsid w:val="004C0794"/>
    <w:rsid w:val="004C1CD1"/>
    <w:rsid w:val="004C40B9"/>
    <w:rsid w:val="004E1911"/>
    <w:rsid w:val="005442EB"/>
    <w:rsid w:val="005639A6"/>
    <w:rsid w:val="005C79EF"/>
    <w:rsid w:val="005F5518"/>
    <w:rsid w:val="00647999"/>
    <w:rsid w:val="006D713B"/>
    <w:rsid w:val="0070366E"/>
    <w:rsid w:val="0071594D"/>
    <w:rsid w:val="00726BA1"/>
    <w:rsid w:val="007377CE"/>
    <w:rsid w:val="007819B6"/>
    <w:rsid w:val="007A4429"/>
    <w:rsid w:val="007E32E7"/>
    <w:rsid w:val="0085436B"/>
    <w:rsid w:val="00877D1D"/>
    <w:rsid w:val="00937AC1"/>
    <w:rsid w:val="00945F07"/>
    <w:rsid w:val="00972CBB"/>
    <w:rsid w:val="00985EF6"/>
    <w:rsid w:val="00A03870"/>
    <w:rsid w:val="00A233A9"/>
    <w:rsid w:val="00A46F76"/>
    <w:rsid w:val="00A56A35"/>
    <w:rsid w:val="00AB342F"/>
    <w:rsid w:val="00B135B9"/>
    <w:rsid w:val="00B25FDD"/>
    <w:rsid w:val="00B46A81"/>
    <w:rsid w:val="00B80970"/>
    <w:rsid w:val="00BB405C"/>
    <w:rsid w:val="00D00BF1"/>
    <w:rsid w:val="00D216D5"/>
    <w:rsid w:val="00D31C01"/>
    <w:rsid w:val="00D66608"/>
    <w:rsid w:val="00DB2D72"/>
    <w:rsid w:val="00DD7180"/>
    <w:rsid w:val="00DF227A"/>
    <w:rsid w:val="00E2196E"/>
    <w:rsid w:val="00E23225"/>
    <w:rsid w:val="00E42F8F"/>
    <w:rsid w:val="00E50798"/>
    <w:rsid w:val="00E619D4"/>
    <w:rsid w:val="00E83CF6"/>
    <w:rsid w:val="00EC6DB0"/>
    <w:rsid w:val="00EF4645"/>
    <w:rsid w:val="00F21493"/>
    <w:rsid w:val="00F33F33"/>
    <w:rsid w:val="00F51815"/>
    <w:rsid w:val="00FA1DAE"/>
    <w:rsid w:val="00FB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532E6E"/>
  <w15:chartTrackingRefBased/>
  <w15:docId w15:val="{08B7B7C0-FB79-4132-81CE-05641414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39A6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3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9A6"/>
  </w:style>
  <w:style w:type="paragraph" w:styleId="Stopka">
    <w:name w:val="footer"/>
    <w:basedOn w:val="Normalny"/>
    <w:link w:val="StopkaZnak"/>
    <w:uiPriority w:val="99"/>
    <w:unhideWhenUsed/>
    <w:rsid w:val="00563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9A6"/>
  </w:style>
  <w:style w:type="character" w:customStyle="1" w:styleId="NagwekZnak1">
    <w:name w:val="Nagłówek Znak1"/>
    <w:rsid w:val="005639A6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5639A6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5639A6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5639A6"/>
    <w:rPr>
      <w:color w:val="0000FF"/>
      <w:u w:val="single"/>
    </w:rPr>
  </w:style>
  <w:style w:type="character" w:customStyle="1" w:styleId="u-linkcomplex-target">
    <w:name w:val="u-linkcomplex-target"/>
    <w:basedOn w:val="Domylnaczcionkaakapitu"/>
    <w:rsid w:val="005639A6"/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5639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639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basedOn w:val="Domylnaczcionkaakapitu"/>
    <w:link w:val="Akapitzlist"/>
    <w:uiPriority w:val="34"/>
    <w:qFormat/>
    <w:rsid w:val="005639A6"/>
    <w:rPr>
      <w:rFonts w:ascii="Trebuchet MS" w:eastAsia="Times New Roman" w:hAnsi="Trebuchet MS" w:cs="Times New Roman"/>
      <w:sz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39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39A6"/>
    <w:rPr>
      <w:rFonts w:ascii="Trebuchet MS" w:eastAsia="Times New Roman" w:hAnsi="Trebuchet MS" w:cs="Times New Roman"/>
      <w:sz w:val="18"/>
    </w:rPr>
  </w:style>
  <w:style w:type="paragraph" w:styleId="Bezodstpw">
    <w:name w:val="No Spacing"/>
    <w:uiPriority w:val="1"/>
    <w:qFormat/>
    <w:rsid w:val="005F5518"/>
    <w:pPr>
      <w:spacing w:after="0" w:line="240" w:lineRule="auto"/>
    </w:pPr>
  </w:style>
  <w:style w:type="character" w:customStyle="1" w:styleId="CharStyle16">
    <w:name w:val="Char Style 16"/>
    <w:basedOn w:val="Domylnaczcionkaakapitu"/>
    <w:link w:val="Style15"/>
    <w:rsid w:val="00B80970"/>
    <w:rPr>
      <w:rFonts w:ascii="Arial" w:eastAsia="Arial" w:hAnsi="Arial" w:cs="Arial"/>
    </w:rPr>
  </w:style>
  <w:style w:type="paragraph" w:customStyle="1" w:styleId="Style15">
    <w:name w:val="Style 15"/>
    <w:basedOn w:val="Normalny"/>
    <w:link w:val="CharStyle16"/>
    <w:rsid w:val="00B80970"/>
    <w:pPr>
      <w:widowControl w:val="0"/>
      <w:spacing w:line="360" w:lineRule="auto"/>
    </w:pPr>
    <w:rPr>
      <w:rFonts w:ascii="Arial" w:eastAsia="Arial" w:hAnsi="Arial" w:cs="Arial"/>
      <w:sz w:val="22"/>
    </w:rPr>
  </w:style>
  <w:style w:type="character" w:styleId="Pogrubienie">
    <w:name w:val="Strong"/>
    <w:basedOn w:val="Domylnaczcionkaakapitu"/>
    <w:uiPriority w:val="22"/>
    <w:qFormat/>
    <w:rsid w:val="00D00BF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1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9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91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1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191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911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911"/>
    <w:rPr>
      <w:rFonts w:ascii="Segoe UI" w:eastAsia="Times New Roman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0C0F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ostrzezenia_konsumenckie.php?news_id=19527" TargetMode="External"/><Relationship Id="rId13" Type="http://schemas.openxmlformats.org/officeDocument/2006/relationships/hyperlink" Target="https://finanse.uokik.gov.pl/faq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okik.gov.pl/aktualnosci.php?news_id=17640" TargetMode="External"/><Relationship Id="rId17" Type="http://schemas.openxmlformats.org/officeDocument/2006/relationships/hyperlink" Target="https://rf.gov.pl/jak-pomaga-rzecznik-finansowy/porad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okik.gov.pl/pomoc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aktualnosci.php?news_id=192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radydlakonsumentow.pl/" TargetMode="External"/><Relationship Id="rId10" Type="http://schemas.openxmlformats.org/officeDocument/2006/relationships/hyperlink" Target="https://archiwum.uokik.gov.pl/aktualnosci.php?news_id=1983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okik.gov.pl/aktualnosci.php?news_id=19532" TargetMode="External"/><Relationship Id="rId14" Type="http://schemas.openxmlformats.org/officeDocument/2006/relationships/hyperlink" Target="https://finanse.uokik.gov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1CBD16E4-F57B-4823-9FC6-927DDFB301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Klimczuk</dc:creator>
  <cp:keywords/>
  <dc:description/>
  <cp:lastModifiedBy>Grzegorz Dagis</cp:lastModifiedBy>
  <cp:revision>5</cp:revision>
  <dcterms:created xsi:type="dcterms:W3CDTF">2024-12-17T07:33:00Z</dcterms:created>
  <dcterms:modified xsi:type="dcterms:W3CDTF">2025-01-13T10:53:00Z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b5aa9d06-8522-4adc-a811-7cd0a2f9a216</vt:lpwstr>
  </property>
  <property fmtid="{D5CDD505-2E9C-101B-9397-08002B2CF9AE}" pid="3" name="bjClsUserRVM">
    <vt:lpwstr>[]</vt:lpwstr>
  </property>
  <property fmtid="{D5CDD505-2E9C-101B-9397-08002B2CF9AE}" pid="4" name="bjSaver">
    <vt:lpwstr>lJoxpEYt1JlsUop1Ch/NfbpPqZpAy8xV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