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5879" w14:textId="3D6320FF" w:rsidR="00B20BAA" w:rsidRDefault="00855620" w:rsidP="00760FF5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 xml:space="preserve">Produkty Xiaomi – </w:t>
      </w:r>
      <w:r w:rsidR="00685AA6" w:rsidRPr="0010609F">
        <w:rPr>
          <w:color w:val="000000"/>
          <w:sz w:val="32"/>
          <w:szCs w:val="32"/>
        </w:rPr>
        <w:t>p</w:t>
      </w:r>
      <w:r>
        <w:rPr>
          <w:color w:val="000000"/>
          <w:sz w:val="32"/>
          <w:szCs w:val="32"/>
        </w:rPr>
        <w:t xml:space="preserve">ostępowanie wyjaśniające i przeszukanie </w:t>
      </w:r>
    </w:p>
    <w:p w14:paraId="47AC6937" w14:textId="1F2E33DA" w:rsidR="00760FF5" w:rsidRPr="00CA3F6E" w:rsidRDefault="003C5D07" w:rsidP="00855620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wszczął postępowanie wyjaśniające w sprawie </w:t>
      </w:r>
      <w:r w:rsidR="00802BA2">
        <w:rPr>
          <w:b/>
          <w:sz w:val="22"/>
        </w:rPr>
        <w:t xml:space="preserve">możliwych </w:t>
      </w:r>
      <w:r w:rsidR="00855620">
        <w:rPr>
          <w:b/>
          <w:sz w:val="22"/>
        </w:rPr>
        <w:t>antykonkurencyjnych</w:t>
      </w:r>
      <w:r w:rsidR="00802BA2">
        <w:rPr>
          <w:b/>
          <w:sz w:val="22"/>
        </w:rPr>
        <w:t xml:space="preserve"> praktyk przy sprzedaży sprzętu </w:t>
      </w:r>
      <w:r w:rsidR="005E7F1C">
        <w:rPr>
          <w:b/>
          <w:sz w:val="22"/>
        </w:rPr>
        <w:t xml:space="preserve">firmy </w:t>
      </w:r>
      <w:r w:rsidR="00802BA2">
        <w:rPr>
          <w:b/>
          <w:sz w:val="22"/>
        </w:rPr>
        <w:t>Xiaomi</w:t>
      </w:r>
      <w:r w:rsidR="00855620">
        <w:rPr>
          <w:b/>
          <w:sz w:val="22"/>
        </w:rPr>
        <w:t>.</w:t>
      </w:r>
    </w:p>
    <w:p w14:paraId="7AA47023" w14:textId="0F753C03" w:rsidR="00760FF5" w:rsidRDefault="00760FF5" w:rsidP="00855620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CA3F6E">
        <w:rPr>
          <w:b/>
          <w:sz w:val="22"/>
        </w:rPr>
        <w:t>Ponadto pracownicy U</w:t>
      </w:r>
      <w:r w:rsidR="00C703E3">
        <w:rPr>
          <w:b/>
          <w:sz w:val="22"/>
        </w:rPr>
        <w:t>rzędu</w:t>
      </w:r>
      <w:r w:rsidRPr="00CA3F6E">
        <w:rPr>
          <w:b/>
          <w:sz w:val="22"/>
        </w:rPr>
        <w:t xml:space="preserve"> </w:t>
      </w:r>
      <w:r w:rsidR="005E7F1C">
        <w:rPr>
          <w:b/>
          <w:sz w:val="22"/>
        </w:rPr>
        <w:t xml:space="preserve">przeprowadzili </w:t>
      </w:r>
      <w:r w:rsidR="00855620">
        <w:rPr>
          <w:b/>
          <w:sz w:val="22"/>
        </w:rPr>
        <w:t xml:space="preserve">w asyście Policji </w:t>
      </w:r>
      <w:r w:rsidR="005E7F1C">
        <w:rPr>
          <w:b/>
          <w:sz w:val="22"/>
        </w:rPr>
        <w:t>przeszukani</w:t>
      </w:r>
      <w:r w:rsidR="00855620">
        <w:rPr>
          <w:b/>
          <w:sz w:val="22"/>
        </w:rPr>
        <w:t>e</w:t>
      </w:r>
      <w:r w:rsidR="005E7F1C">
        <w:rPr>
          <w:b/>
          <w:sz w:val="22"/>
        </w:rPr>
        <w:t xml:space="preserve"> w siedzibach trzech podmiotów.</w:t>
      </w:r>
    </w:p>
    <w:p w14:paraId="279FFDBC" w14:textId="4A87F7F4" w:rsidR="005E7F1C" w:rsidRPr="006936CF" w:rsidRDefault="005E7F1C" w:rsidP="00855620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Trwa ana</w:t>
      </w:r>
      <w:r w:rsidR="00074322">
        <w:rPr>
          <w:b/>
          <w:sz w:val="22"/>
        </w:rPr>
        <w:t xml:space="preserve">liza </w:t>
      </w:r>
      <w:r w:rsidR="00074322" w:rsidRPr="006936CF">
        <w:rPr>
          <w:b/>
          <w:sz w:val="22"/>
        </w:rPr>
        <w:t>z</w:t>
      </w:r>
      <w:r w:rsidR="009D036E" w:rsidRPr="006936CF">
        <w:rPr>
          <w:b/>
          <w:sz w:val="22"/>
        </w:rPr>
        <w:t>e</w:t>
      </w:r>
      <w:r w:rsidR="00074322" w:rsidRPr="006936CF">
        <w:rPr>
          <w:b/>
          <w:sz w:val="22"/>
        </w:rPr>
        <w:t>branego materiału dowodowego</w:t>
      </w:r>
      <w:r w:rsidR="00855620">
        <w:rPr>
          <w:b/>
          <w:sz w:val="22"/>
        </w:rPr>
        <w:t>.</w:t>
      </w:r>
    </w:p>
    <w:p w14:paraId="3F725FDA" w14:textId="53669878" w:rsidR="004B36E3" w:rsidRPr="00855620" w:rsidRDefault="00760FF5" w:rsidP="0085562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6936CF">
        <w:rPr>
          <w:rFonts w:ascii="Trebuchet MS" w:hAnsi="Trebuchet MS"/>
          <w:b/>
          <w:sz w:val="22"/>
          <w:szCs w:val="22"/>
        </w:rPr>
        <w:t xml:space="preserve">[Warszawa, </w:t>
      </w:r>
      <w:r w:rsidR="00C067DA">
        <w:rPr>
          <w:rFonts w:ascii="Trebuchet MS" w:hAnsi="Trebuchet MS"/>
          <w:b/>
          <w:sz w:val="22"/>
          <w:szCs w:val="22"/>
        </w:rPr>
        <w:t xml:space="preserve">28 </w:t>
      </w:r>
      <w:r w:rsidR="00A763F6">
        <w:rPr>
          <w:rFonts w:ascii="Trebuchet MS" w:hAnsi="Trebuchet MS"/>
          <w:b/>
          <w:sz w:val="22"/>
          <w:szCs w:val="22"/>
        </w:rPr>
        <w:t>maja</w:t>
      </w:r>
      <w:bookmarkStart w:id="0" w:name="_GoBack"/>
      <w:bookmarkEnd w:id="0"/>
      <w:r w:rsidR="00855620">
        <w:rPr>
          <w:rFonts w:ascii="Trebuchet MS" w:hAnsi="Trebuchet MS"/>
          <w:b/>
          <w:sz w:val="22"/>
          <w:szCs w:val="22"/>
        </w:rPr>
        <w:t xml:space="preserve"> </w:t>
      </w:r>
      <w:r w:rsidRPr="006936CF">
        <w:rPr>
          <w:rFonts w:ascii="Trebuchet MS" w:hAnsi="Trebuchet MS"/>
          <w:b/>
          <w:sz w:val="22"/>
          <w:szCs w:val="22"/>
        </w:rPr>
        <w:t>2024 r.]</w:t>
      </w:r>
      <w:r w:rsidR="006936CF">
        <w:rPr>
          <w:rFonts w:ascii="Trebuchet MS" w:hAnsi="Trebuchet MS"/>
          <w:b/>
          <w:sz w:val="22"/>
          <w:szCs w:val="22"/>
        </w:rPr>
        <w:t xml:space="preserve"> </w:t>
      </w:r>
      <w:r w:rsidR="007F0EE6" w:rsidRPr="00855620">
        <w:rPr>
          <w:rFonts w:ascii="Trebuchet MS" w:hAnsi="Trebuchet MS"/>
          <w:sz w:val="22"/>
          <w:szCs w:val="22"/>
        </w:rPr>
        <w:t xml:space="preserve">– </w:t>
      </w:r>
      <w:r w:rsidR="007F0EE6" w:rsidRPr="004E2331">
        <w:rPr>
          <w:rFonts w:ascii="Trebuchet MS" w:hAnsi="Trebuchet MS"/>
          <w:i/>
          <w:iCs/>
          <w:sz w:val="22"/>
          <w:szCs w:val="22"/>
        </w:rPr>
        <w:t xml:space="preserve">Otrzymaliśmy informacje, że ceny sprzętu </w:t>
      </w:r>
      <w:r w:rsidR="00C35CDE" w:rsidRPr="004E2331">
        <w:rPr>
          <w:rFonts w:ascii="Trebuchet MS" w:hAnsi="Trebuchet MS"/>
          <w:i/>
          <w:iCs/>
          <w:sz w:val="22"/>
        </w:rPr>
        <w:t>Xiaomi</w:t>
      </w:r>
      <w:r w:rsidR="005A0222" w:rsidRPr="004E2331">
        <w:rPr>
          <w:rFonts w:ascii="Trebuchet MS" w:hAnsi="Trebuchet MS"/>
          <w:i/>
          <w:iCs/>
          <w:sz w:val="22"/>
        </w:rPr>
        <w:t>:</w:t>
      </w:r>
      <w:r w:rsidR="00C35CDE" w:rsidRPr="004E2331">
        <w:rPr>
          <w:rFonts w:ascii="Trebuchet MS" w:hAnsi="Trebuchet MS"/>
          <w:b/>
          <w:i/>
          <w:iCs/>
          <w:sz w:val="22"/>
        </w:rPr>
        <w:t xml:space="preserve"> </w:t>
      </w:r>
      <w:r w:rsidR="00C35CDE" w:rsidRPr="004E2331">
        <w:rPr>
          <w:rFonts w:ascii="Trebuchet MS" w:hAnsi="Trebuchet MS" w:cs="Calibri"/>
          <w:i/>
          <w:iCs/>
          <w:color w:val="000000"/>
          <w:sz w:val="22"/>
        </w:rPr>
        <w:t>Mi, Redmi, Redmi Note i POCO</w:t>
      </w:r>
      <w:r w:rsidR="00C35CDE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 xml:space="preserve"> </w:t>
      </w:r>
      <w:r w:rsidR="007F0EE6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>mogą być ustalane w wyniku niedozwolonego porozumienia</w:t>
      </w:r>
      <w:r w:rsidR="00164AF6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>.</w:t>
      </w:r>
      <w:r w:rsidR="007F0EE6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 xml:space="preserve"> </w:t>
      </w:r>
      <w:r w:rsidR="005A0222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>W</w:t>
      </w:r>
      <w:r w:rsidR="007F0EE6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>szcząłem w tej sprawie postępowanie wyjaśniające i zleciłem przeszukania w siedzibach trzech podmiotów.</w:t>
      </w:r>
      <w:r w:rsidR="00855620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 xml:space="preserve"> Z</w:t>
      </w:r>
      <w:r w:rsidR="00CE6D90" w:rsidRPr="004E2331">
        <w:rPr>
          <w:rFonts w:ascii="Trebuchet MS" w:hAnsi="Trebuchet MS" w:cs="Calibri"/>
          <w:i/>
          <w:iCs/>
          <w:color w:val="000000"/>
          <w:sz w:val="22"/>
          <w:szCs w:val="22"/>
        </w:rPr>
        <w:t>ebraliśmy obszerny materiał dowodowy, który obecnie analizujemy</w:t>
      </w:r>
      <w:r w:rsidR="00CE6D90" w:rsidRPr="0085562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B36E3" w:rsidRPr="00855620">
        <w:rPr>
          <w:rFonts w:ascii="Trebuchet MS" w:hAnsi="Trebuchet MS" w:cs="Calibri"/>
          <w:color w:val="000000"/>
          <w:sz w:val="22"/>
          <w:szCs w:val="22"/>
        </w:rPr>
        <w:t>- mówi Prezes UOKiK Tomasz Chróstny.</w:t>
      </w:r>
    </w:p>
    <w:p w14:paraId="031A4EB0" w14:textId="1916B4D8" w:rsidR="00F95D51" w:rsidRPr="00855620" w:rsidRDefault="002C0BC1" w:rsidP="00855620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  <w:lang w:eastAsia="pl-PL"/>
        </w:rPr>
      </w:pPr>
      <w:r>
        <w:rPr>
          <w:rFonts w:cs="Calibri"/>
          <w:color w:val="000000"/>
          <w:sz w:val="22"/>
          <w:lang w:eastAsia="pl-PL"/>
        </w:rPr>
        <w:t>Przeszukanie odbyło się</w:t>
      </w:r>
      <w:r w:rsidR="00620B3B">
        <w:rPr>
          <w:rFonts w:cs="Calibri"/>
          <w:color w:val="000000"/>
          <w:sz w:val="22"/>
          <w:lang w:eastAsia="pl-PL"/>
        </w:rPr>
        <w:t xml:space="preserve"> w siedzibach Xiaomi Polska i dwóch dystrybutorów produktów tej firmy.</w:t>
      </w:r>
      <w:r>
        <w:rPr>
          <w:rFonts w:cs="Calibri"/>
          <w:color w:val="000000"/>
          <w:sz w:val="22"/>
          <w:lang w:eastAsia="pl-PL"/>
        </w:rPr>
        <w:t xml:space="preserve"> </w:t>
      </w:r>
      <w:r w:rsidR="00F95D51" w:rsidRPr="00855620">
        <w:rPr>
          <w:rFonts w:cs="Calibri"/>
          <w:color w:val="000000"/>
          <w:sz w:val="22"/>
          <w:lang w:eastAsia="pl-PL"/>
        </w:rPr>
        <w:t xml:space="preserve">Podejrzewane porozumienie może polegać na </w:t>
      </w:r>
      <w:r w:rsidR="00FD6A25">
        <w:rPr>
          <w:rFonts w:cs="Calibri"/>
          <w:color w:val="000000"/>
          <w:sz w:val="22"/>
          <w:lang w:eastAsia="pl-PL"/>
        </w:rPr>
        <w:t xml:space="preserve">niedozwolonym </w:t>
      </w:r>
      <w:r w:rsidR="00531124" w:rsidRPr="00855620">
        <w:rPr>
          <w:rFonts w:cs="Calibri"/>
          <w:color w:val="000000"/>
          <w:sz w:val="22"/>
          <w:lang w:eastAsia="pl-PL"/>
        </w:rPr>
        <w:t>ustalaniu</w:t>
      </w:r>
      <w:r w:rsidR="00F95D51" w:rsidRPr="00855620">
        <w:rPr>
          <w:rFonts w:cs="Calibri"/>
          <w:color w:val="000000"/>
          <w:sz w:val="22"/>
          <w:lang w:eastAsia="pl-PL"/>
        </w:rPr>
        <w:t xml:space="preserve"> </w:t>
      </w:r>
      <w:r w:rsidR="00FD6A25">
        <w:rPr>
          <w:rFonts w:cs="Calibri"/>
          <w:color w:val="000000"/>
          <w:sz w:val="22"/>
          <w:lang w:eastAsia="pl-PL"/>
        </w:rPr>
        <w:t>cen</w:t>
      </w:r>
      <w:r w:rsidR="001060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0609F" w:rsidRPr="0010609F">
        <w:rPr>
          <w:rFonts w:cs="Calibri"/>
          <w:color w:val="000000"/>
          <w:sz w:val="22"/>
          <w:shd w:val="clear" w:color="auto" w:fill="FFFFFF"/>
        </w:rPr>
        <w:t>elektroniki użytkowej, sprzętu RTV i AGD i produktów inteligentnych</w:t>
      </w:r>
      <w:r w:rsidR="00AB2B13">
        <w:rPr>
          <w:rFonts w:cs="Calibri"/>
          <w:color w:val="000000"/>
          <w:sz w:val="22"/>
        </w:rPr>
        <w:t xml:space="preserve">. </w:t>
      </w:r>
      <w:r w:rsidR="00F95D51" w:rsidRPr="00855620">
        <w:rPr>
          <w:rFonts w:cs="Calibri"/>
          <w:color w:val="000000"/>
          <w:sz w:val="22"/>
          <w:lang w:eastAsia="pl-PL"/>
        </w:rPr>
        <w:t xml:space="preserve">W efekcie konsumenci nie mogliby </w:t>
      </w:r>
      <w:r w:rsidR="00855620" w:rsidRPr="00855620">
        <w:rPr>
          <w:rFonts w:cs="Calibri"/>
          <w:color w:val="000000"/>
          <w:sz w:val="22"/>
          <w:lang w:eastAsia="pl-PL"/>
        </w:rPr>
        <w:t>kupić</w:t>
      </w:r>
      <w:r w:rsidR="00F95D51" w:rsidRPr="00855620">
        <w:rPr>
          <w:rFonts w:cs="Calibri"/>
          <w:color w:val="000000"/>
          <w:sz w:val="22"/>
          <w:lang w:eastAsia="pl-PL"/>
        </w:rPr>
        <w:t xml:space="preserve"> </w:t>
      </w:r>
      <w:r w:rsidR="00554E09">
        <w:rPr>
          <w:rFonts w:cs="Calibri"/>
          <w:color w:val="000000"/>
          <w:sz w:val="22"/>
          <w:lang w:eastAsia="pl-PL"/>
        </w:rPr>
        <w:t>tych produktów taniej niż po odgórnie ustalonych cenach.</w:t>
      </w:r>
      <w:r w:rsidR="00F95D51" w:rsidRPr="00855620">
        <w:rPr>
          <w:rFonts w:cs="Calibri"/>
          <w:color w:val="000000"/>
          <w:sz w:val="22"/>
          <w:lang w:eastAsia="pl-PL"/>
        </w:rPr>
        <w:t xml:space="preserve"> </w:t>
      </w:r>
    </w:p>
    <w:p w14:paraId="35729572" w14:textId="77777777" w:rsidR="00855620" w:rsidRPr="00855620" w:rsidRDefault="00855620" w:rsidP="0085562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855620"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07DC0D8F" w14:textId="4342287C" w:rsidR="00855620" w:rsidRPr="00855620" w:rsidRDefault="00855620" w:rsidP="00855620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855620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8" w:tgtFrame="_blank" w:history="1">
        <w:r w:rsidRPr="00855620">
          <w:rPr>
            <w:rStyle w:val="Hipercze"/>
            <w:rFonts w:cs="Calibri"/>
            <w:color w:val="000000" w:themeColor="text1"/>
            <w:sz w:val="22"/>
            <w:lang w:eastAsia="en-GB"/>
          </w:rPr>
          <w:t>programowi łagodzenia kar</w:t>
        </w:r>
      </w:hyperlink>
      <w:r w:rsidRPr="00855620">
        <w:rPr>
          <w:rFonts w:cs="Calibri"/>
          <w:color w:val="000000" w:themeColor="text1"/>
          <w:sz w:val="22"/>
          <w:lang w:eastAsia="en-GB"/>
        </w:rPr>
        <w:t xml:space="preserve"> </w:t>
      </w:r>
      <w:r w:rsidRPr="00855620"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 w:rsidRPr="00855620">
        <w:rPr>
          <w:rFonts w:cs="Calibri"/>
          <w:color w:val="000000" w:themeColor="text1"/>
          <w:sz w:val="22"/>
          <w:lang w:eastAsia="en-GB"/>
        </w:rPr>
        <w:t>Daje on przedsiębiorcy uczestniczącemu w nielegalnym porozumieniu oraz men</w:t>
      </w:r>
      <w:r w:rsidR="005A0222">
        <w:rPr>
          <w:rFonts w:cs="Calibri"/>
          <w:color w:val="000000" w:themeColor="text1"/>
          <w:sz w:val="22"/>
          <w:lang w:eastAsia="en-GB"/>
        </w:rPr>
        <w:t>e</w:t>
      </w:r>
      <w:r w:rsidRPr="00855620">
        <w:rPr>
          <w:rFonts w:cs="Calibri"/>
          <w:color w:val="000000" w:themeColor="text1"/>
          <w:sz w:val="22"/>
          <w:lang w:eastAsia="en-GB"/>
        </w:rPr>
        <w:t xml:space="preserve">dżerom odpowiedzialnym za zmowę szansę obniżenia, a niekiedy uniknięcia kary pieniężnej. Można z niego skorzystać pod warunkiem współpracy z Prezesem UOKiK w charakterze „świadka koronnego” oraz dostarczenia </w:t>
      </w:r>
      <w:r w:rsidR="005A0222">
        <w:rPr>
          <w:rFonts w:cs="Calibri"/>
          <w:color w:val="000000" w:themeColor="text1"/>
          <w:sz w:val="22"/>
          <w:lang w:eastAsia="en-GB"/>
        </w:rPr>
        <w:t xml:space="preserve">wszelkich </w:t>
      </w:r>
      <w:r w:rsidRPr="00855620">
        <w:rPr>
          <w:rFonts w:cs="Calibri"/>
          <w:color w:val="000000" w:themeColor="text1"/>
          <w:sz w:val="22"/>
          <w:lang w:eastAsia="en-GB"/>
        </w:rPr>
        <w:t xml:space="preserve">dowodów lub informacji dotyczących istnienia niedozwolonego porozumienia. </w:t>
      </w:r>
    </w:p>
    <w:p w14:paraId="3E1506A3" w14:textId="35D6C366" w:rsidR="00760FF5" w:rsidRPr="00760FF5" w:rsidRDefault="00855620" w:rsidP="005A0222">
      <w:pPr>
        <w:shd w:val="clear" w:color="auto" w:fill="FFFFFF"/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  <w:r w:rsidRPr="00855620">
        <w:rPr>
          <w:rFonts w:cs="Calibri"/>
          <w:color w:val="000000" w:themeColor="text1"/>
          <w:sz w:val="22"/>
          <w:lang w:eastAsia="en-GB"/>
        </w:rPr>
        <w:t xml:space="preserve">Przedsiębiorców i menadżerów zainteresowanych programem łagodzenia kar zapraszamy do kontaktu z Urzędem. Pod specjalnym numerem telefonu: 22 55 60 555 prawnicy UOKiK odpowiadają na wszystkie pytania dotyczące wniosków </w:t>
      </w:r>
      <w:r w:rsidRPr="00855620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Pr="00855620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sectPr w:rsidR="00760FF5" w:rsidRPr="00760FF5" w:rsidSect="005A0222">
      <w:headerReference w:type="default" r:id="rId9"/>
      <w:footerReference w:type="default" r:id="rId10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4E6D" w14:textId="77777777" w:rsidR="00C56366" w:rsidRDefault="00C56366">
      <w:r>
        <w:separator/>
      </w:r>
    </w:p>
  </w:endnote>
  <w:endnote w:type="continuationSeparator" w:id="0">
    <w:p w14:paraId="5D5E6792" w14:textId="77777777" w:rsidR="00C56366" w:rsidRDefault="00C5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52639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52639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F15F" w14:textId="77777777" w:rsidR="00C56366" w:rsidRDefault="00C56366">
      <w:r>
        <w:separator/>
      </w:r>
    </w:p>
  </w:footnote>
  <w:footnote w:type="continuationSeparator" w:id="0">
    <w:p w14:paraId="280F3157" w14:textId="77777777" w:rsidR="00C56366" w:rsidRDefault="00C5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52639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807059422" name="Obraz 180705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C2809"/>
    <w:multiLevelType w:val="multilevel"/>
    <w:tmpl w:val="510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74322"/>
    <w:rsid w:val="000838C2"/>
    <w:rsid w:val="000913F7"/>
    <w:rsid w:val="000A6415"/>
    <w:rsid w:val="000A74FA"/>
    <w:rsid w:val="000B149D"/>
    <w:rsid w:val="000B1AC5"/>
    <w:rsid w:val="000B7247"/>
    <w:rsid w:val="000F50EE"/>
    <w:rsid w:val="0010559C"/>
    <w:rsid w:val="0010609F"/>
    <w:rsid w:val="00106D3E"/>
    <w:rsid w:val="00107844"/>
    <w:rsid w:val="00114D63"/>
    <w:rsid w:val="00116102"/>
    <w:rsid w:val="00120FBD"/>
    <w:rsid w:val="0012424D"/>
    <w:rsid w:val="0013159A"/>
    <w:rsid w:val="00135455"/>
    <w:rsid w:val="00143029"/>
    <w:rsid w:val="00143310"/>
    <w:rsid w:val="00144E9C"/>
    <w:rsid w:val="0016078E"/>
    <w:rsid w:val="00161094"/>
    <w:rsid w:val="00163DF9"/>
    <w:rsid w:val="00164AF6"/>
    <w:rsid w:val="001666D6"/>
    <w:rsid w:val="00166B5D"/>
    <w:rsid w:val="001675EF"/>
    <w:rsid w:val="0017028A"/>
    <w:rsid w:val="001717C7"/>
    <w:rsid w:val="00173900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2E71"/>
    <w:rsid w:val="002760D2"/>
    <w:rsid w:val="002801AA"/>
    <w:rsid w:val="002817D5"/>
    <w:rsid w:val="00295B34"/>
    <w:rsid w:val="002A5D69"/>
    <w:rsid w:val="002B1DBF"/>
    <w:rsid w:val="002C0BC1"/>
    <w:rsid w:val="002C0D29"/>
    <w:rsid w:val="002C0D5D"/>
    <w:rsid w:val="002C1818"/>
    <w:rsid w:val="002C5AF4"/>
    <w:rsid w:val="002C692D"/>
    <w:rsid w:val="002C6ABE"/>
    <w:rsid w:val="002D19F7"/>
    <w:rsid w:val="002D50A0"/>
    <w:rsid w:val="002D5EED"/>
    <w:rsid w:val="002E2796"/>
    <w:rsid w:val="002E388C"/>
    <w:rsid w:val="002E7EEE"/>
    <w:rsid w:val="002F1BF3"/>
    <w:rsid w:val="002F30D4"/>
    <w:rsid w:val="002F362A"/>
    <w:rsid w:val="002F4D43"/>
    <w:rsid w:val="003056C6"/>
    <w:rsid w:val="00310436"/>
    <w:rsid w:val="00310A95"/>
    <w:rsid w:val="00311B14"/>
    <w:rsid w:val="00324306"/>
    <w:rsid w:val="003278D6"/>
    <w:rsid w:val="003303F0"/>
    <w:rsid w:val="00333D8E"/>
    <w:rsid w:val="00337174"/>
    <w:rsid w:val="0034059B"/>
    <w:rsid w:val="0035019C"/>
    <w:rsid w:val="00360248"/>
    <w:rsid w:val="00360C66"/>
    <w:rsid w:val="00361ECC"/>
    <w:rsid w:val="00363029"/>
    <w:rsid w:val="00366A46"/>
    <w:rsid w:val="00377810"/>
    <w:rsid w:val="00377A0D"/>
    <w:rsid w:val="00380C34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C5D07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425B7"/>
    <w:rsid w:val="00444715"/>
    <w:rsid w:val="00444A85"/>
    <w:rsid w:val="00450331"/>
    <w:rsid w:val="0046012B"/>
    <w:rsid w:val="004620D2"/>
    <w:rsid w:val="00462CFA"/>
    <w:rsid w:val="00486DB1"/>
    <w:rsid w:val="004872FF"/>
    <w:rsid w:val="00487364"/>
    <w:rsid w:val="00493E10"/>
    <w:rsid w:val="004972E8"/>
    <w:rsid w:val="004A5353"/>
    <w:rsid w:val="004B36E3"/>
    <w:rsid w:val="004C0F9E"/>
    <w:rsid w:val="004C1243"/>
    <w:rsid w:val="004C1475"/>
    <w:rsid w:val="004C3D4C"/>
    <w:rsid w:val="004C5C26"/>
    <w:rsid w:val="004D13CB"/>
    <w:rsid w:val="004E2331"/>
    <w:rsid w:val="004E487B"/>
    <w:rsid w:val="004E7BD4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1124"/>
    <w:rsid w:val="00536FF2"/>
    <w:rsid w:val="005442FC"/>
    <w:rsid w:val="00544E18"/>
    <w:rsid w:val="005470CA"/>
    <w:rsid w:val="00552639"/>
    <w:rsid w:val="00554E09"/>
    <w:rsid w:val="0055631D"/>
    <w:rsid w:val="00557A71"/>
    <w:rsid w:val="00563889"/>
    <w:rsid w:val="005645CE"/>
    <w:rsid w:val="00590B79"/>
    <w:rsid w:val="00593935"/>
    <w:rsid w:val="005973FD"/>
    <w:rsid w:val="00597C68"/>
    <w:rsid w:val="005A0222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E7F1C"/>
    <w:rsid w:val="005F139F"/>
    <w:rsid w:val="005F1EBD"/>
    <w:rsid w:val="006063D0"/>
    <w:rsid w:val="00613C45"/>
    <w:rsid w:val="00620B3B"/>
    <w:rsid w:val="00631BC2"/>
    <w:rsid w:val="00633D4E"/>
    <w:rsid w:val="0063526F"/>
    <w:rsid w:val="00637E86"/>
    <w:rsid w:val="00642285"/>
    <w:rsid w:val="006422DE"/>
    <w:rsid w:val="006439FA"/>
    <w:rsid w:val="00662FB3"/>
    <w:rsid w:val="0066568F"/>
    <w:rsid w:val="006724E9"/>
    <w:rsid w:val="006727B0"/>
    <w:rsid w:val="0067485D"/>
    <w:rsid w:val="00680CC9"/>
    <w:rsid w:val="00685AA6"/>
    <w:rsid w:val="00686544"/>
    <w:rsid w:val="006936CF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283E"/>
    <w:rsid w:val="00754634"/>
    <w:rsid w:val="0075524D"/>
    <w:rsid w:val="007560B0"/>
    <w:rsid w:val="00756DC4"/>
    <w:rsid w:val="00760FF5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A19D8"/>
    <w:rsid w:val="007A4D3C"/>
    <w:rsid w:val="007C1E49"/>
    <w:rsid w:val="007C2DBF"/>
    <w:rsid w:val="007E36E4"/>
    <w:rsid w:val="007E6218"/>
    <w:rsid w:val="007F0ACE"/>
    <w:rsid w:val="007F0EE6"/>
    <w:rsid w:val="007F4C3E"/>
    <w:rsid w:val="007F68F7"/>
    <w:rsid w:val="00800F0E"/>
    <w:rsid w:val="00802BA2"/>
    <w:rsid w:val="00804024"/>
    <w:rsid w:val="0081753E"/>
    <w:rsid w:val="00821BBF"/>
    <w:rsid w:val="00824E82"/>
    <w:rsid w:val="008274C2"/>
    <w:rsid w:val="00830825"/>
    <w:rsid w:val="008358D5"/>
    <w:rsid w:val="00837D33"/>
    <w:rsid w:val="0085010E"/>
    <w:rsid w:val="0085454F"/>
    <w:rsid w:val="00855620"/>
    <w:rsid w:val="00862D6A"/>
    <w:rsid w:val="00865EA3"/>
    <w:rsid w:val="008705DA"/>
    <w:rsid w:val="0087354F"/>
    <w:rsid w:val="0089109C"/>
    <w:rsid w:val="00896985"/>
    <w:rsid w:val="008A409C"/>
    <w:rsid w:val="008C03E4"/>
    <w:rsid w:val="008C274D"/>
    <w:rsid w:val="008C28C5"/>
    <w:rsid w:val="008C5215"/>
    <w:rsid w:val="008C53D0"/>
    <w:rsid w:val="008D3DE5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1048E"/>
    <w:rsid w:val="009217EC"/>
    <w:rsid w:val="00924ABC"/>
    <w:rsid w:val="00940E8F"/>
    <w:rsid w:val="00942392"/>
    <w:rsid w:val="0095309C"/>
    <w:rsid w:val="009652F2"/>
    <w:rsid w:val="009719ED"/>
    <w:rsid w:val="00986C37"/>
    <w:rsid w:val="00994EAE"/>
    <w:rsid w:val="00997528"/>
    <w:rsid w:val="0099796A"/>
    <w:rsid w:val="009A5F9B"/>
    <w:rsid w:val="009A7C52"/>
    <w:rsid w:val="009B3709"/>
    <w:rsid w:val="009C1346"/>
    <w:rsid w:val="009D036E"/>
    <w:rsid w:val="009D05C8"/>
    <w:rsid w:val="009D49D9"/>
    <w:rsid w:val="009E3C0B"/>
    <w:rsid w:val="009E558C"/>
    <w:rsid w:val="009F5610"/>
    <w:rsid w:val="00A13244"/>
    <w:rsid w:val="00A17783"/>
    <w:rsid w:val="00A231E6"/>
    <w:rsid w:val="00A239AA"/>
    <w:rsid w:val="00A23C7D"/>
    <w:rsid w:val="00A37314"/>
    <w:rsid w:val="00A439E8"/>
    <w:rsid w:val="00A450C8"/>
    <w:rsid w:val="00A45753"/>
    <w:rsid w:val="00A51CE5"/>
    <w:rsid w:val="00A52541"/>
    <w:rsid w:val="00A53423"/>
    <w:rsid w:val="00A57037"/>
    <w:rsid w:val="00A62659"/>
    <w:rsid w:val="00A6511C"/>
    <w:rsid w:val="00A65F20"/>
    <w:rsid w:val="00A76293"/>
    <w:rsid w:val="00A763F6"/>
    <w:rsid w:val="00A77DA2"/>
    <w:rsid w:val="00A85D9D"/>
    <w:rsid w:val="00A92C4C"/>
    <w:rsid w:val="00A92F82"/>
    <w:rsid w:val="00A97E0C"/>
    <w:rsid w:val="00AA358C"/>
    <w:rsid w:val="00AA3D14"/>
    <w:rsid w:val="00AA602D"/>
    <w:rsid w:val="00AA66D2"/>
    <w:rsid w:val="00AB2B13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1BE3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067DA"/>
    <w:rsid w:val="00C10607"/>
    <w:rsid w:val="00C123B1"/>
    <w:rsid w:val="00C20E8A"/>
    <w:rsid w:val="00C21071"/>
    <w:rsid w:val="00C2398C"/>
    <w:rsid w:val="00C2549C"/>
    <w:rsid w:val="00C25569"/>
    <w:rsid w:val="00C27366"/>
    <w:rsid w:val="00C35CDE"/>
    <w:rsid w:val="00C56366"/>
    <w:rsid w:val="00C63AA8"/>
    <w:rsid w:val="00C701B4"/>
    <w:rsid w:val="00C703E3"/>
    <w:rsid w:val="00C74A5D"/>
    <w:rsid w:val="00C7783C"/>
    <w:rsid w:val="00C80EE3"/>
    <w:rsid w:val="00C81210"/>
    <w:rsid w:val="00C83FD8"/>
    <w:rsid w:val="00C84994"/>
    <w:rsid w:val="00C853EE"/>
    <w:rsid w:val="00C930F4"/>
    <w:rsid w:val="00C967B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34F0"/>
    <w:rsid w:val="00CD3EB9"/>
    <w:rsid w:val="00CD7371"/>
    <w:rsid w:val="00CE0954"/>
    <w:rsid w:val="00CE6D90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7896"/>
    <w:rsid w:val="00D43766"/>
    <w:rsid w:val="00D47CCF"/>
    <w:rsid w:val="00D5112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6AE"/>
    <w:rsid w:val="00E167E8"/>
    <w:rsid w:val="00E24825"/>
    <w:rsid w:val="00E304D6"/>
    <w:rsid w:val="00E4105C"/>
    <w:rsid w:val="00E42093"/>
    <w:rsid w:val="00E522AD"/>
    <w:rsid w:val="00E57B45"/>
    <w:rsid w:val="00E64103"/>
    <w:rsid w:val="00E72945"/>
    <w:rsid w:val="00E7448B"/>
    <w:rsid w:val="00E76CD1"/>
    <w:rsid w:val="00E82864"/>
    <w:rsid w:val="00EA7F69"/>
    <w:rsid w:val="00EC13D8"/>
    <w:rsid w:val="00EC43EA"/>
    <w:rsid w:val="00EC5484"/>
    <w:rsid w:val="00ED134F"/>
    <w:rsid w:val="00ED1EEB"/>
    <w:rsid w:val="00EE4AD8"/>
    <w:rsid w:val="00EF3CCE"/>
    <w:rsid w:val="00F01D85"/>
    <w:rsid w:val="00F054A3"/>
    <w:rsid w:val="00F139AC"/>
    <w:rsid w:val="00F14F2B"/>
    <w:rsid w:val="00F21EAC"/>
    <w:rsid w:val="00F3243D"/>
    <w:rsid w:val="00F40C3E"/>
    <w:rsid w:val="00F46D0D"/>
    <w:rsid w:val="00F71D35"/>
    <w:rsid w:val="00F772EC"/>
    <w:rsid w:val="00F819B7"/>
    <w:rsid w:val="00F92B59"/>
    <w:rsid w:val="00F948BC"/>
    <w:rsid w:val="00F94E17"/>
    <w:rsid w:val="00F95D51"/>
    <w:rsid w:val="00F960CF"/>
    <w:rsid w:val="00FA10A3"/>
    <w:rsid w:val="00FA1226"/>
    <w:rsid w:val="00FA4DF8"/>
    <w:rsid w:val="00FA63E9"/>
    <w:rsid w:val="00FB4237"/>
    <w:rsid w:val="00FB728B"/>
    <w:rsid w:val="00FD09D8"/>
    <w:rsid w:val="00FD6A2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D511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B3D671E-726A-40FE-9ACB-64C90BB476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5</cp:revision>
  <cp:lastPrinted>2019-03-06T14:11:00Z</cp:lastPrinted>
  <dcterms:created xsi:type="dcterms:W3CDTF">2024-05-27T21:27:00Z</dcterms:created>
  <dcterms:modified xsi:type="dcterms:W3CDTF">2024-05-28T07:00:00Z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01ce17b4-d30e-4bf8-b08e-f52624561794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