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0834" w14:textId="7AC3BF63" w:rsidR="009B02B4" w:rsidRDefault="00DF4CE1" w:rsidP="002B105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POROZUMIENIA WEKSLOWE ASSAY – OSTRZEŻENIE PREZESA UOKIK</w:t>
      </w:r>
    </w:p>
    <w:p w14:paraId="4003EDB2" w14:textId="6F1474BE" w:rsidR="00177F28" w:rsidRPr="00177F28" w:rsidRDefault="00177F28" w:rsidP="00177F28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 w:rsidRPr="005015CB">
        <w:rPr>
          <w:b/>
          <w:sz w:val="22"/>
        </w:rPr>
        <w:t xml:space="preserve">Prezes UOKiK postawił zarzuty Assay Management </w:t>
      </w:r>
      <w:r>
        <w:rPr>
          <w:b/>
          <w:sz w:val="22"/>
        </w:rPr>
        <w:t>oraz</w:t>
      </w:r>
      <w:r w:rsidRPr="005015CB">
        <w:rPr>
          <w:b/>
          <w:sz w:val="22"/>
        </w:rPr>
        <w:t xml:space="preserve"> </w:t>
      </w:r>
      <w:r>
        <w:rPr>
          <w:b/>
          <w:sz w:val="22"/>
        </w:rPr>
        <w:t xml:space="preserve">zarządzanej przez nią </w:t>
      </w:r>
      <w:r w:rsidRPr="005015CB">
        <w:rPr>
          <w:b/>
          <w:sz w:val="22"/>
        </w:rPr>
        <w:t xml:space="preserve">spółce </w:t>
      </w:r>
      <w:r>
        <w:rPr>
          <w:b/>
          <w:sz w:val="22"/>
        </w:rPr>
        <w:t>Assay ASI oferującej „weksle inwestycyjne”. Wydał także ostrzeżenie konsumenckie.</w:t>
      </w:r>
    </w:p>
    <w:p w14:paraId="0BB5ECFD" w14:textId="4B5A963C" w:rsidR="00E81E81" w:rsidRPr="00EB39A5" w:rsidRDefault="00D9694B" w:rsidP="00EB39A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Ktoś dzwoni i proponuje ci </w:t>
      </w:r>
      <w:r w:rsidR="0080716D">
        <w:rPr>
          <w:b/>
          <w:sz w:val="22"/>
        </w:rPr>
        <w:t xml:space="preserve">alternatywną </w:t>
      </w:r>
      <w:r>
        <w:rPr>
          <w:b/>
          <w:sz w:val="22"/>
        </w:rPr>
        <w:t xml:space="preserve">inwestycję na stały, zabezpieczony procent? Z wypłacanymi </w:t>
      </w:r>
      <w:r w:rsidR="00BC5A3B">
        <w:rPr>
          <w:b/>
          <w:sz w:val="22"/>
        </w:rPr>
        <w:t>regularnie</w:t>
      </w:r>
      <w:r>
        <w:rPr>
          <w:b/>
          <w:sz w:val="22"/>
        </w:rPr>
        <w:t xml:space="preserve"> odsetkami</w:t>
      </w:r>
      <w:r w:rsidR="00C70146">
        <w:rPr>
          <w:b/>
          <w:sz w:val="22"/>
        </w:rPr>
        <w:t xml:space="preserve"> i zwrotem kapitału</w:t>
      </w:r>
      <w:r w:rsidR="00BC5A3B">
        <w:rPr>
          <w:b/>
          <w:sz w:val="22"/>
        </w:rPr>
        <w:t xml:space="preserve">? </w:t>
      </w:r>
      <w:r w:rsidR="0083591C" w:rsidRPr="00EB39A5">
        <w:rPr>
          <w:b/>
          <w:sz w:val="22"/>
        </w:rPr>
        <w:t>Konsumencie, u</w:t>
      </w:r>
      <w:r w:rsidR="00BC5A3B" w:rsidRPr="00EB39A5">
        <w:rPr>
          <w:b/>
          <w:sz w:val="22"/>
        </w:rPr>
        <w:t xml:space="preserve">ważaj na </w:t>
      </w:r>
      <w:r w:rsidR="00177F28" w:rsidRPr="00EB39A5">
        <w:rPr>
          <w:b/>
          <w:sz w:val="22"/>
        </w:rPr>
        <w:t>swoje oszczędności!</w:t>
      </w:r>
    </w:p>
    <w:bookmarkEnd w:id="0"/>
    <w:p w14:paraId="2847CB9B" w14:textId="457B6F46" w:rsidR="001B141C" w:rsidRDefault="00DF4CE1" w:rsidP="00647903">
      <w:pPr>
        <w:spacing w:after="240" w:line="360" w:lineRule="auto"/>
        <w:jc w:val="both"/>
        <w:rPr>
          <w:rFonts w:cs="Tahoma"/>
          <w:sz w:val="22"/>
        </w:rPr>
      </w:pPr>
      <w:r>
        <w:rPr>
          <w:b/>
          <w:sz w:val="22"/>
        </w:rPr>
        <w:t>[Warszawa, 27</w:t>
      </w:r>
      <w:r w:rsidR="002B105F" w:rsidRPr="002D0410">
        <w:rPr>
          <w:b/>
          <w:sz w:val="22"/>
        </w:rPr>
        <w:t xml:space="preserve"> </w:t>
      </w:r>
      <w:r w:rsidR="00C775AA">
        <w:rPr>
          <w:b/>
          <w:sz w:val="22"/>
        </w:rPr>
        <w:t>kwietnia</w:t>
      </w:r>
      <w:r w:rsidR="002B105F">
        <w:rPr>
          <w:b/>
          <w:sz w:val="22"/>
        </w:rPr>
        <w:t xml:space="preserve"> </w:t>
      </w:r>
      <w:r w:rsidR="002B105F" w:rsidRPr="002D0410">
        <w:rPr>
          <w:b/>
          <w:sz w:val="22"/>
        </w:rPr>
        <w:t>202</w:t>
      </w:r>
      <w:r w:rsidR="002B105F">
        <w:rPr>
          <w:b/>
          <w:sz w:val="22"/>
        </w:rPr>
        <w:t>3</w:t>
      </w:r>
      <w:r w:rsidR="002B105F" w:rsidRPr="002D0410">
        <w:rPr>
          <w:b/>
          <w:sz w:val="22"/>
        </w:rPr>
        <w:t xml:space="preserve"> r</w:t>
      </w:r>
      <w:r w:rsidR="002B105F" w:rsidRPr="000C7A93">
        <w:rPr>
          <w:rFonts w:cs="Tahoma"/>
          <w:b/>
          <w:sz w:val="22"/>
        </w:rPr>
        <w:t xml:space="preserve">.] </w:t>
      </w:r>
      <w:r w:rsidR="009D1E9E">
        <w:rPr>
          <w:sz w:val="22"/>
        </w:rPr>
        <w:t>Assay Management zajmuje się pozyskiwaniem klientów na rzecz</w:t>
      </w:r>
      <w:r w:rsidR="00A64DF3">
        <w:rPr>
          <w:sz w:val="22"/>
        </w:rPr>
        <w:t xml:space="preserve"> </w:t>
      </w:r>
      <w:bookmarkStart w:id="1" w:name="_Hlk132872160"/>
      <w:r w:rsidR="00E9334F">
        <w:rPr>
          <w:sz w:val="22"/>
        </w:rPr>
        <w:t xml:space="preserve">Assay </w:t>
      </w:r>
      <w:r w:rsidR="005779EA">
        <w:rPr>
          <w:sz w:val="22"/>
        </w:rPr>
        <w:t xml:space="preserve">Management </w:t>
      </w:r>
      <w:r w:rsidR="00E9334F">
        <w:rPr>
          <w:sz w:val="22"/>
        </w:rPr>
        <w:t>Alternatywna Spółka Inwestycyjna (Assay ASI)</w:t>
      </w:r>
      <w:bookmarkEnd w:id="1"/>
      <w:r w:rsidR="009D1E9E">
        <w:rPr>
          <w:sz w:val="22"/>
        </w:rPr>
        <w:t xml:space="preserve"> i zachęca do zawarcia oferowanego przez nią porozumienia wekslowego. </w:t>
      </w:r>
      <w:r w:rsidR="009D1E9E">
        <w:rPr>
          <w:rFonts w:cs="Tahoma"/>
          <w:sz w:val="22"/>
        </w:rPr>
        <w:t xml:space="preserve">Według przedsiębiorcy jest to </w:t>
      </w:r>
      <w:r w:rsidR="0091063C">
        <w:rPr>
          <w:rFonts w:cs="Tahoma"/>
          <w:sz w:val="22"/>
        </w:rPr>
        <w:t>pewna inwestycja ze stałym oprocentowaniem i regularnie wypłacanymi odsetkami</w:t>
      </w:r>
      <w:r w:rsidR="009D1E9E">
        <w:rPr>
          <w:rFonts w:cs="Tahoma"/>
          <w:sz w:val="22"/>
        </w:rPr>
        <w:t xml:space="preserve">. </w:t>
      </w:r>
      <w:r w:rsidR="00284AC8">
        <w:rPr>
          <w:rFonts w:cs="Tahoma"/>
          <w:sz w:val="22"/>
        </w:rPr>
        <w:t>Deklaracjom</w:t>
      </w:r>
      <w:r w:rsidR="00D06B87">
        <w:rPr>
          <w:rFonts w:cs="Tahoma"/>
          <w:sz w:val="22"/>
        </w:rPr>
        <w:t xml:space="preserve"> korzyści z zakupu weksli inwestycyjnych towarzyszy </w:t>
      </w:r>
      <w:r w:rsidR="001B141C">
        <w:rPr>
          <w:rFonts w:cs="Tahoma"/>
          <w:sz w:val="22"/>
        </w:rPr>
        <w:t>zapewnienie</w:t>
      </w:r>
      <w:r w:rsidR="008F35DD">
        <w:rPr>
          <w:rFonts w:cs="Tahoma"/>
          <w:sz w:val="22"/>
        </w:rPr>
        <w:t xml:space="preserve"> o objęciu działalności Grupy Assay nadzorem Komisji Nadzoru Finansowego. </w:t>
      </w:r>
    </w:p>
    <w:p w14:paraId="61C1507E" w14:textId="22D9970A" w:rsidR="001B141C" w:rsidRDefault="001B141C" w:rsidP="0064790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Za rozpowszechnianie powyższych informacji Prezes UOKiK postawił spółce Assay Management zarzut naruszania zbiorowych interesów konsumentów. Postępowanie prowadzone jest również przeciwko Assay </w:t>
      </w:r>
      <w:r w:rsidR="002C6791">
        <w:rPr>
          <w:rFonts w:cs="Tahoma"/>
          <w:sz w:val="22"/>
        </w:rPr>
        <w:t xml:space="preserve">Management </w:t>
      </w:r>
      <w:r>
        <w:rPr>
          <w:rFonts w:cs="Tahoma"/>
          <w:sz w:val="22"/>
        </w:rPr>
        <w:t>Alternatywna Spółka Inwestycyjna</w:t>
      </w:r>
      <w:r w:rsidR="005E5805">
        <w:rPr>
          <w:rFonts w:cs="Tahoma"/>
          <w:sz w:val="22"/>
        </w:rPr>
        <w:t xml:space="preserve"> </w:t>
      </w:r>
      <w:r>
        <w:rPr>
          <w:rFonts w:cs="Tahoma"/>
          <w:sz w:val="22"/>
        </w:rPr>
        <w:t>(Assay ASI)</w:t>
      </w:r>
      <w:r w:rsidR="00C9354B">
        <w:rPr>
          <w:rFonts w:cs="Tahoma"/>
          <w:sz w:val="22"/>
        </w:rPr>
        <w:t xml:space="preserve">, </w:t>
      </w:r>
      <w:r w:rsidR="000E2416">
        <w:rPr>
          <w:rFonts w:cs="Tahoma"/>
          <w:sz w:val="22"/>
        </w:rPr>
        <w:t xml:space="preserve">która </w:t>
      </w:r>
      <w:r w:rsidR="00C9354B">
        <w:rPr>
          <w:rFonts w:cs="Tahoma"/>
          <w:sz w:val="22"/>
        </w:rPr>
        <w:t>jest wystawcą weksli</w:t>
      </w:r>
      <w:r w:rsidR="00A73FFE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oraz </w:t>
      </w:r>
      <w:r w:rsidR="00A73FFE">
        <w:rPr>
          <w:rFonts w:cs="Tahoma"/>
          <w:sz w:val="22"/>
        </w:rPr>
        <w:t xml:space="preserve">przeciwko </w:t>
      </w:r>
      <w:r>
        <w:rPr>
          <w:rFonts w:cs="Tahoma"/>
          <w:sz w:val="22"/>
        </w:rPr>
        <w:t>osobom zarządzającym Grupą Assay. Obu spółkom grozi kara do 10 proc. obrotu</w:t>
      </w:r>
      <w:r w:rsidR="00D20C7D">
        <w:rPr>
          <w:rFonts w:cs="Tahoma"/>
          <w:sz w:val="22"/>
        </w:rPr>
        <w:t xml:space="preserve">, a członkowie zarządu mogą zostać pociągnięci do odpowiedzialności finansowej do 2 mln zł. </w:t>
      </w:r>
    </w:p>
    <w:p w14:paraId="59BE5645" w14:textId="7958B802" w:rsidR="00804345" w:rsidRPr="007B7B59" w:rsidRDefault="00804345" w:rsidP="00804345">
      <w:pPr>
        <w:spacing w:after="240" w:line="360" w:lineRule="auto"/>
        <w:jc w:val="both"/>
        <w:rPr>
          <w:b/>
          <w:bCs/>
          <w:sz w:val="22"/>
        </w:rPr>
      </w:pPr>
      <w:r w:rsidRPr="005779EA">
        <w:rPr>
          <w:bCs/>
          <w:sz w:val="22"/>
        </w:rPr>
        <w:t>Informacje zgromadzone w toku postępowania wykazały, że istnieje duże ryzyko utraty przez konsumentów</w:t>
      </w:r>
      <w:r>
        <w:rPr>
          <w:bCs/>
          <w:sz w:val="22"/>
        </w:rPr>
        <w:t xml:space="preserve"> zainwestowanych środków</w:t>
      </w:r>
      <w:r w:rsidRPr="005779EA">
        <w:rPr>
          <w:bCs/>
          <w:sz w:val="22"/>
        </w:rPr>
        <w:t>.</w:t>
      </w:r>
      <w:r>
        <w:rPr>
          <w:bCs/>
          <w:sz w:val="22"/>
        </w:rPr>
        <w:t xml:space="preserve"> Z tego względu </w:t>
      </w:r>
      <w:r w:rsidRPr="007B7B59">
        <w:rPr>
          <w:b/>
          <w:bCs/>
          <w:sz w:val="22"/>
        </w:rPr>
        <w:t xml:space="preserve">Prezes Urzędu zdecydował o wydaniu </w:t>
      </w:r>
      <w:hyperlink r:id="rId9" w:history="1">
        <w:r w:rsidRPr="006E1AB6">
          <w:rPr>
            <w:rStyle w:val="Hipercze"/>
            <w:b/>
            <w:bCs/>
            <w:sz w:val="22"/>
          </w:rPr>
          <w:t>ostrzeżenia konsumenckiego</w:t>
        </w:r>
      </w:hyperlink>
      <w:r w:rsidRPr="007B7B59">
        <w:rPr>
          <w:b/>
          <w:bCs/>
          <w:sz w:val="22"/>
        </w:rPr>
        <w:t xml:space="preserve"> dotyczącego Assay ASI.</w:t>
      </w:r>
    </w:p>
    <w:p w14:paraId="18BDC239" w14:textId="1DA0A09D" w:rsidR="00804345" w:rsidRDefault="005E5805" w:rsidP="0064790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Jak wynika z ustaleń UOKiK</w:t>
      </w:r>
      <w:r w:rsidR="000E2416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</w:t>
      </w:r>
      <w:r w:rsidR="00284AC8">
        <w:rPr>
          <w:rFonts w:cs="Tahoma"/>
          <w:sz w:val="22"/>
        </w:rPr>
        <w:t xml:space="preserve">informacje przekazywane konsumentom mogą wprowadzać w błąd </w:t>
      </w:r>
      <w:r w:rsidR="00075E73">
        <w:rPr>
          <w:rFonts w:cs="Tahoma"/>
          <w:sz w:val="22"/>
        </w:rPr>
        <w:t xml:space="preserve">co do pewności uzyskania przyszłych </w:t>
      </w:r>
      <w:r w:rsidR="00284AC8">
        <w:rPr>
          <w:rFonts w:cs="Tahoma"/>
          <w:sz w:val="22"/>
        </w:rPr>
        <w:t>korzyści finansowych</w:t>
      </w:r>
      <w:r w:rsidR="0091063C">
        <w:rPr>
          <w:rFonts w:cs="Tahoma"/>
          <w:sz w:val="22"/>
        </w:rPr>
        <w:t xml:space="preserve"> z inwestycji w porozumienie wekslowe Assay ASI,</w:t>
      </w:r>
      <w:r w:rsidR="00075E73">
        <w:rPr>
          <w:rFonts w:cs="Tahoma"/>
          <w:sz w:val="22"/>
        </w:rPr>
        <w:t xml:space="preserve"> </w:t>
      </w:r>
      <w:r w:rsidR="0080716D">
        <w:rPr>
          <w:rFonts w:cs="Tahoma"/>
          <w:sz w:val="22"/>
        </w:rPr>
        <w:t>które w rzeczywistości nie daj</w:t>
      </w:r>
      <w:r w:rsidR="0091063C">
        <w:rPr>
          <w:rFonts w:cs="Tahoma"/>
          <w:sz w:val="22"/>
        </w:rPr>
        <w:t>e</w:t>
      </w:r>
      <w:r w:rsidR="0080716D">
        <w:rPr>
          <w:rFonts w:cs="Tahoma"/>
          <w:sz w:val="22"/>
        </w:rPr>
        <w:t xml:space="preserve"> gwarancji deklarowanych przez spółkę zysków</w:t>
      </w:r>
      <w:r w:rsidR="00284AC8">
        <w:rPr>
          <w:rFonts w:cs="Tahoma"/>
          <w:sz w:val="22"/>
        </w:rPr>
        <w:t>.</w:t>
      </w:r>
      <w:r w:rsidR="00075E73">
        <w:rPr>
          <w:rFonts w:cs="Tahoma"/>
          <w:sz w:val="22"/>
        </w:rPr>
        <w:t xml:space="preserve"> </w:t>
      </w:r>
      <w:r w:rsidR="000F5E44">
        <w:rPr>
          <w:rFonts w:cs="Tahoma"/>
          <w:sz w:val="22"/>
        </w:rPr>
        <w:t>Podobnie</w:t>
      </w:r>
      <w:r w:rsidR="00075E73">
        <w:rPr>
          <w:rFonts w:cs="Tahoma"/>
          <w:sz w:val="22"/>
        </w:rPr>
        <w:t xml:space="preserve"> </w:t>
      </w:r>
      <w:r w:rsidR="000F5E44">
        <w:rPr>
          <w:rFonts w:cs="Tahoma"/>
          <w:sz w:val="22"/>
        </w:rPr>
        <w:t>zapewnienia o objęciu działalności Grupy</w:t>
      </w:r>
      <w:r w:rsidR="00D61C38">
        <w:rPr>
          <w:rFonts w:cs="Tahoma"/>
          <w:sz w:val="22"/>
        </w:rPr>
        <w:t xml:space="preserve"> Assay</w:t>
      </w:r>
      <w:r w:rsidR="000F5E44">
        <w:rPr>
          <w:rFonts w:cs="Tahoma"/>
          <w:sz w:val="22"/>
        </w:rPr>
        <w:t xml:space="preserve"> nadzorem KNF </w:t>
      </w:r>
      <w:r w:rsidR="0080716D">
        <w:rPr>
          <w:rFonts w:cs="Tahoma"/>
          <w:sz w:val="22"/>
        </w:rPr>
        <w:t>mogą sugerować, że takiej kontroli podlega także promowana oferta „weksli inwestycyjnych”, co jest niezgodne z prawdą.</w:t>
      </w:r>
    </w:p>
    <w:p w14:paraId="0F94BAAC" w14:textId="703ACF04" w:rsidR="005B19BE" w:rsidRDefault="00941009" w:rsidP="0064790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lastRenderedPageBreak/>
        <w:t xml:space="preserve">Za przekazane </w:t>
      </w:r>
      <w:r w:rsidR="0026210B">
        <w:rPr>
          <w:rFonts w:cs="Tahoma"/>
          <w:sz w:val="22"/>
        </w:rPr>
        <w:t>przez konsumentów w ramach porozumienia wekslowego środki</w:t>
      </w:r>
      <w:r w:rsidR="00FE0E2B">
        <w:rPr>
          <w:rFonts w:cs="Tahoma"/>
          <w:sz w:val="22"/>
        </w:rPr>
        <w:t>,</w:t>
      </w:r>
      <w:r w:rsidR="0026210B">
        <w:rPr>
          <w:rFonts w:cs="Tahoma"/>
          <w:sz w:val="22"/>
        </w:rPr>
        <w:t xml:space="preserve"> Assay ASI nabywa udziały oraz akcje w start-upach. Warunkiem otrzymywania wypłat jest </w:t>
      </w:r>
      <w:r w:rsidR="00FE0E2B">
        <w:rPr>
          <w:rFonts w:cs="Tahoma"/>
          <w:sz w:val="22"/>
        </w:rPr>
        <w:t xml:space="preserve">stabilne </w:t>
      </w:r>
      <w:r w:rsidR="0026210B">
        <w:rPr>
          <w:rFonts w:cs="Tahoma"/>
          <w:sz w:val="22"/>
        </w:rPr>
        <w:t xml:space="preserve">funkcjonowanie tych podmiotów, </w:t>
      </w:r>
      <w:r w:rsidR="00FE0E2B">
        <w:rPr>
          <w:rFonts w:cs="Tahoma"/>
          <w:sz w:val="22"/>
        </w:rPr>
        <w:t xml:space="preserve">które jednak, będąc w początkowej fazie rozwoju i oferując innowacyjne rozwiązania, niosą ryzyko utraty płynności finansowej. Co więcej, samo posługiwanie się w relacjach z konsumentami wekslem, w sposób </w:t>
      </w:r>
      <w:r w:rsidR="00A73FFE">
        <w:rPr>
          <w:rFonts w:cs="Tahoma"/>
          <w:sz w:val="22"/>
        </w:rPr>
        <w:t xml:space="preserve">w </w:t>
      </w:r>
      <w:r w:rsidR="00FE0E2B">
        <w:rPr>
          <w:rFonts w:cs="Tahoma"/>
          <w:sz w:val="22"/>
        </w:rPr>
        <w:t xml:space="preserve">jaki robi to </w:t>
      </w:r>
      <w:r w:rsidR="00A73FFE">
        <w:rPr>
          <w:rFonts w:cs="Tahoma"/>
          <w:sz w:val="22"/>
        </w:rPr>
        <w:t xml:space="preserve">Assay </w:t>
      </w:r>
      <w:r w:rsidR="00FE0E2B">
        <w:rPr>
          <w:rFonts w:cs="Tahoma"/>
          <w:sz w:val="22"/>
        </w:rPr>
        <w:t xml:space="preserve">ASI, jest </w:t>
      </w:r>
      <w:r w:rsidR="000E2416">
        <w:rPr>
          <w:rFonts w:cs="Tahoma"/>
          <w:sz w:val="22"/>
        </w:rPr>
        <w:t xml:space="preserve">sprzeczne </w:t>
      </w:r>
      <w:r w:rsidR="00FE0E2B">
        <w:rPr>
          <w:rFonts w:cs="Tahoma"/>
          <w:sz w:val="22"/>
        </w:rPr>
        <w:t>z jego funk</w:t>
      </w:r>
      <w:r w:rsidR="000215D9">
        <w:rPr>
          <w:rFonts w:cs="Tahoma"/>
          <w:sz w:val="22"/>
        </w:rPr>
        <w:t xml:space="preserve">cją. Spółka wykorzystuje go </w:t>
      </w:r>
      <w:r w:rsidR="006A5FCF">
        <w:rPr>
          <w:rFonts w:cs="Tahoma"/>
          <w:sz w:val="22"/>
        </w:rPr>
        <w:t>w celu pozyskania kapitału, co skutkuje przeniesieniem na konsumentów ryzyka prowadzonej działalności inwestycyjnej. Gwarantem bezpieczeństwa takiego produktu jest jedynie wypłacalność jego wystawcy</w:t>
      </w:r>
      <w:r w:rsidR="00D3530A">
        <w:rPr>
          <w:rFonts w:cs="Tahoma"/>
          <w:sz w:val="22"/>
        </w:rPr>
        <w:t>.</w:t>
      </w:r>
    </w:p>
    <w:p w14:paraId="7BFD3F53" w14:textId="0383F1BA" w:rsidR="00D3530A" w:rsidRDefault="00C13F3E" w:rsidP="0064790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Spółka Assay Management </w:t>
      </w:r>
      <w:r w:rsidR="0091063C">
        <w:rPr>
          <w:rFonts w:cs="Tahoma"/>
          <w:i/>
          <w:sz w:val="22"/>
        </w:rPr>
        <w:t>przekaz</w:t>
      </w:r>
      <w:r w:rsidR="004F5DB3">
        <w:rPr>
          <w:rFonts w:cs="Tahoma"/>
          <w:i/>
          <w:sz w:val="22"/>
        </w:rPr>
        <w:t>uje</w:t>
      </w:r>
      <w:r>
        <w:rPr>
          <w:rFonts w:cs="Tahoma"/>
          <w:i/>
          <w:sz w:val="22"/>
        </w:rPr>
        <w:t xml:space="preserve"> nieprawdziwe informacje o</w:t>
      </w:r>
      <w:r w:rsidR="0091063C">
        <w:rPr>
          <w:rFonts w:cs="Tahoma"/>
          <w:i/>
          <w:sz w:val="22"/>
        </w:rPr>
        <w:t xml:space="preserve"> pewności uzyskiwania korzyści finansowych z oferowanych przez Assay ASI porozumień wekslowych. </w:t>
      </w:r>
      <w:r w:rsidR="00F96F4E">
        <w:rPr>
          <w:rFonts w:cs="Tahoma"/>
          <w:i/>
          <w:sz w:val="22"/>
        </w:rPr>
        <w:t>Konsumenci mają prawo zakładać, że kierowany do nich przekaz jest rzetelny</w:t>
      </w:r>
      <w:r w:rsidR="002630AA">
        <w:rPr>
          <w:rFonts w:cs="Tahoma"/>
          <w:i/>
          <w:sz w:val="22"/>
        </w:rPr>
        <w:t>, nie wprowadza w błąd</w:t>
      </w:r>
      <w:r w:rsidR="00F96F4E">
        <w:rPr>
          <w:rFonts w:cs="Tahoma"/>
          <w:i/>
          <w:sz w:val="22"/>
        </w:rPr>
        <w:t xml:space="preserve"> i uwzględnia wszystkie istotne informacje - na tej podstawie podejmują decyzje odnośnie zarządzania swoimi oszczędnościami – </w:t>
      </w:r>
      <w:r w:rsidR="00F96F4E">
        <w:rPr>
          <w:rFonts w:cs="Tahoma"/>
          <w:sz w:val="22"/>
        </w:rPr>
        <w:t xml:space="preserve">mówi Prezes UOKiK Tomasz Chróstny. </w:t>
      </w:r>
    </w:p>
    <w:p w14:paraId="639EC1D7" w14:textId="324EC8D6" w:rsidR="00777DEE" w:rsidRDefault="00BA16FB" w:rsidP="001357D4">
      <w:pPr>
        <w:spacing w:after="240" w:line="360" w:lineRule="auto"/>
        <w:jc w:val="both"/>
        <w:rPr>
          <w:bCs/>
          <w:sz w:val="22"/>
        </w:rPr>
      </w:pPr>
      <w:r w:rsidRPr="00BA16FB">
        <w:rPr>
          <w:bCs/>
          <w:sz w:val="22"/>
        </w:rPr>
        <w:t xml:space="preserve">Zarzuty wobec </w:t>
      </w:r>
      <w:r>
        <w:rPr>
          <w:bCs/>
          <w:sz w:val="22"/>
        </w:rPr>
        <w:t xml:space="preserve">Assay Management, Assay Alternatywna Spółka Inwestycyjna </w:t>
      </w:r>
      <w:r w:rsidR="00567798">
        <w:rPr>
          <w:bCs/>
          <w:sz w:val="22"/>
        </w:rPr>
        <w:t xml:space="preserve">(Assay ASI) </w:t>
      </w:r>
      <w:r w:rsidR="003930D3">
        <w:rPr>
          <w:bCs/>
          <w:sz w:val="22"/>
        </w:rPr>
        <w:t>oraz członków</w:t>
      </w:r>
      <w:bookmarkStart w:id="2" w:name="_GoBack"/>
      <w:bookmarkEnd w:id="2"/>
      <w:r>
        <w:rPr>
          <w:bCs/>
          <w:sz w:val="22"/>
        </w:rPr>
        <w:t xml:space="preserve"> zarządu Grupy Assay, to nie </w:t>
      </w:r>
      <w:r w:rsidR="0091063C">
        <w:rPr>
          <w:bCs/>
          <w:sz w:val="22"/>
        </w:rPr>
        <w:t xml:space="preserve">jedyne </w:t>
      </w:r>
      <w:r>
        <w:rPr>
          <w:bCs/>
          <w:sz w:val="22"/>
        </w:rPr>
        <w:t>działania Urzędu w sprawie „weksli inwestycyjnych”.</w:t>
      </w:r>
      <w:r w:rsidR="0091063C">
        <w:rPr>
          <w:bCs/>
          <w:sz w:val="22"/>
        </w:rPr>
        <w:t xml:space="preserve"> </w:t>
      </w:r>
      <w:r w:rsidR="00777DEE">
        <w:rPr>
          <w:bCs/>
          <w:sz w:val="22"/>
        </w:rPr>
        <w:t>Pod</w:t>
      </w:r>
      <w:r w:rsidR="00C1143C">
        <w:rPr>
          <w:bCs/>
          <w:sz w:val="22"/>
        </w:rPr>
        <w:t xml:space="preserve"> koniec 2022 r.</w:t>
      </w:r>
      <w:r>
        <w:rPr>
          <w:bCs/>
          <w:sz w:val="22"/>
        </w:rPr>
        <w:t xml:space="preserve"> Prezes UOKiK wydał </w:t>
      </w:r>
      <w:hyperlink r:id="rId10" w:history="1">
        <w:r w:rsidRPr="00BA16FB">
          <w:rPr>
            <w:rStyle w:val="Hipercze"/>
            <w:bCs/>
            <w:sz w:val="22"/>
          </w:rPr>
          <w:t>decyzję dotyczącą BREWE Leasing</w:t>
        </w:r>
      </w:hyperlink>
      <w:r>
        <w:rPr>
          <w:bCs/>
          <w:sz w:val="22"/>
        </w:rPr>
        <w:t xml:space="preserve"> nakładającą na </w:t>
      </w:r>
      <w:r w:rsidR="00C1143C">
        <w:rPr>
          <w:bCs/>
          <w:sz w:val="22"/>
        </w:rPr>
        <w:t xml:space="preserve">tę </w:t>
      </w:r>
      <w:r>
        <w:rPr>
          <w:bCs/>
          <w:sz w:val="22"/>
        </w:rPr>
        <w:t>spółkę ponad 150 tys. zł kary</w:t>
      </w:r>
      <w:r w:rsidR="00A156F9">
        <w:rPr>
          <w:bCs/>
          <w:sz w:val="22"/>
        </w:rPr>
        <w:t xml:space="preserve">, a </w:t>
      </w:r>
      <w:r>
        <w:rPr>
          <w:bCs/>
          <w:sz w:val="22"/>
        </w:rPr>
        <w:t>w</w:t>
      </w:r>
      <w:r w:rsidRPr="00BA16FB">
        <w:rPr>
          <w:bCs/>
          <w:sz w:val="22"/>
        </w:rPr>
        <w:t xml:space="preserve"> czerwcu 2021 r. nałożył </w:t>
      </w:r>
      <w:hyperlink r:id="rId11" w:history="1">
        <w:r w:rsidRPr="00BA16FB">
          <w:rPr>
            <w:bCs/>
            <w:sz w:val="22"/>
          </w:rPr>
          <w:t>prawie 400 tys. zł kary na Fundusz Hipoteczny Yanok</w:t>
        </w:r>
      </w:hyperlink>
      <w:r w:rsidRPr="00BA16FB">
        <w:rPr>
          <w:bCs/>
          <w:sz w:val="22"/>
        </w:rPr>
        <w:t xml:space="preserve">, który w ten sposób </w:t>
      </w:r>
      <w:r w:rsidR="00A156F9">
        <w:rPr>
          <w:bCs/>
          <w:sz w:val="22"/>
        </w:rPr>
        <w:t>gromadził</w:t>
      </w:r>
      <w:r w:rsidR="00A156F9" w:rsidRPr="00BA16FB">
        <w:rPr>
          <w:bCs/>
          <w:sz w:val="22"/>
        </w:rPr>
        <w:t xml:space="preserve"> </w:t>
      </w:r>
      <w:r w:rsidRPr="00BA16FB">
        <w:rPr>
          <w:bCs/>
          <w:sz w:val="22"/>
        </w:rPr>
        <w:t>fundusze na swoją działalność.</w:t>
      </w:r>
    </w:p>
    <w:p w14:paraId="1A3AFD6B" w14:textId="48A0FC20" w:rsidR="00777DEE" w:rsidRDefault="00743D3C" w:rsidP="001357D4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Ponadto, od </w:t>
      </w:r>
      <w:r w:rsidR="00777DEE">
        <w:rPr>
          <w:bCs/>
          <w:sz w:val="22"/>
        </w:rPr>
        <w:t>lutego 2023 r. prowadzone jest postępowanie przeciwko firmie Aforti Holding, która również ofer</w:t>
      </w:r>
      <w:r w:rsidR="0078785A">
        <w:rPr>
          <w:bCs/>
          <w:sz w:val="22"/>
        </w:rPr>
        <w:t>owała</w:t>
      </w:r>
      <w:r w:rsidR="00777DEE">
        <w:rPr>
          <w:bCs/>
          <w:sz w:val="22"/>
        </w:rPr>
        <w:t xml:space="preserve"> konsumentom weksle w celu pozyskania kapitału. Spółce grozi kara do 10 proc. obrotu.</w:t>
      </w:r>
    </w:p>
    <w:p w14:paraId="377342B2" w14:textId="24836005" w:rsidR="00E0388D" w:rsidRDefault="00E0388D" w:rsidP="00E0388D">
      <w:pPr>
        <w:shd w:val="clear" w:color="auto" w:fill="FFFFFF"/>
        <w:rPr>
          <w:b/>
          <w:bCs/>
          <w:sz w:val="22"/>
        </w:rPr>
      </w:pPr>
      <w:r w:rsidRPr="00E0388D">
        <w:rPr>
          <w:b/>
          <w:bCs/>
          <w:sz w:val="22"/>
        </w:rPr>
        <w:t>Ostrzeżenie konsumenckie</w:t>
      </w:r>
    </w:p>
    <w:p w14:paraId="5F076BCB" w14:textId="77777777" w:rsidR="00E0388D" w:rsidRPr="00E0388D" w:rsidRDefault="00E0388D" w:rsidP="00E0388D">
      <w:pPr>
        <w:shd w:val="clear" w:color="auto" w:fill="FFFFFF"/>
        <w:rPr>
          <w:b/>
          <w:bCs/>
          <w:sz w:val="22"/>
        </w:rPr>
      </w:pPr>
    </w:p>
    <w:p w14:paraId="5BD27856" w14:textId="46C9C5E4" w:rsidR="00E0388D" w:rsidRPr="00E0388D" w:rsidRDefault="00E0388D" w:rsidP="00E0388D">
      <w:pPr>
        <w:shd w:val="clear" w:color="auto" w:fill="FFFFFF"/>
        <w:spacing w:line="360" w:lineRule="auto"/>
        <w:jc w:val="both"/>
        <w:rPr>
          <w:bCs/>
          <w:sz w:val="22"/>
        </w:rPr>
      </w:pPr>
      <w:r w:rsidRPr="00E0388D">
        <w:rPr>
          <w:bCs/>
          <w:sz w:val="22"/>
        </w:rPr>
        <w:t>Zgodnie z ustawą o ochronie konkurencji i konsumentów </w:t>
      </w:r>
      <w:r w:rsidR="00EB39A5">
        <w:rPr>
          <w:bCs/>
          <w:sz w:val="22"/>
        </w:rPr>
        <w:t xml:space="preserve">Prezes </w:t>
      </w:r>
      <w:r w:rsidRPr="00E0388D">
        <w:rPr>
          <w:bCs/>
          <w:sz w:val="22"/>
        </w:rPr>
        <w:t>UOKiK wydaje ostrzeżenie konsumenckie, gdy ma uzasadnione podejrzenie, że przedsiębiorca stosuje nielegalną praktykę, która może narazić szeroki krąg konsumentów na znaczne straty finansowe lub niekorzystne skutki. Ostrzeżenia są zamieszczane na </w:t>
      </w:r>
      <w:hyperlink r:id="rId12" w:tgtFrame="_blank" w:history="1">
        <w:r w:rsidRPr="00E0388D">
          <w:rPr>
            <w:bCs/>
            <w:sz w:val="22"/>
          </w:rPr>
          <w:t>stronie internetowej urzędu</w:t>
        </w:r>
      </w:hyperlink>
      <w:r w:rsidRPr="00E0388D">
        <w:rPr>
          <w:bCs/>
          <w:sz w:val="22"/>
        </w:rPr>
        <w:t>.</w:t>
      </w:r>
    </w:p>
    <w:p w14:paraId="28AF8D14" w14:textId="77777777" w:rsidR="00E0388D" w:rsidRDefault="00E0388D" w:rsidP="006A5FCF">
      <w:pPr>
        <w:pStyle w:val="NormalnyWeb"/>
        <w:shd w:val="clear" w:color="auto" w:fill="FFFFFF"/>
        <w:spacing w:line="279" w:lineRule="atLeast"/>
        <w:jc w:val="both"/>
        <w:rPr>
          <w:rFonts w:ascii="Trebuchet MS" w:hAnsi="Trebuchet MS"/>
          <w:b/>
          <w:bCs/>
          <w:sz w:val="22"/>
          <w:szCs w:val="22"/>
        </w:rPr>
      </w:pPr>
      <w:bookmarkStart w:id="3" w:name="_Hlk132872449"/>
    </w:p>
    <w:p w14:paraId="7142781E" w14:textId="5AE89BD8" w:rsidR="006A5FCF" w:rsidRPr="006A5FCF" w:rsidRDefault="006A5FCF" w:rsidP="006A5FCF">
      <w:pPr>
        <w:pStyle w:val="NormalnyWeb"/>
        <w:shd w:val="clear" w:color="auto" w:fill="FFFFFF"/>
        <w:spacing w:line="279" w:lineRule="atLeast"/>
        <w:jc w:val="both"/>
        <w:rPr>
          <w:rFonts w:ascii="Trebuchet MS" w:hAnsi="Trebuchet MS" w:cs="Tahoma"/>
          <w:sz w:val="22"/>
          <w:szCs w:val="22"/>
        </w:rPr>
      </w:pPr>
      <w:r w:rsidRPr="006A5FCF">
        <w:rPr>
          <w:rFonts w:ascii="Trebuchet MS" w:hAnsi="Trebuchet MS"/>
          <w:b/>
          <w:bCs/>
          <w:sz w:val="22"/>
          <w:szCs w:val="22"/>
        </w:rPr>
        <w:t>Konsumencie, zachowaj ostrożność:</w:t>
      </w:r>
    </w:p>
    <w:p w14:paraId="1E0711A2" w14:textId="77777777" w:rsidR="006A5FCF" w:rsidRPr="006A5FCF" w:rsidRDefault="006A5FCF" w:rsidP="00E9334F">
      <w:pPr>
        <w:numPr>
          <w:ilvl w:val="0"/>
          <w:numId w:val="41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bookmarkStart w:id="4" w:name="_Hlk132872466"/>
      <w:bookmarkEnd w:id="3"/>
      <w:r w:rsidRPr="006A5FCF">
        <w:rPr>
          <w:rFonts w:cs="Tahoma"/>
          <w:sz w:val="22"/>
        </w:rPr>
        <w:lastRenderedPageBreak/>
        <w:t>W przepisach nie istnieje pojęcie „weksla inwestycyjnego”. Zostało ono wymyślone przez przedsiębiorców na określenie kolejnego produktu umożliwiającego im pozyskanie kapitału.</w:t>
      </w:r>
    </w:p>
    <w:p w14:paraId="103C3BB6" w14:textId="5A1E2C71" w:rsidR="006A5FCF" w:rsidRPr="006A5FCF" w:rsidRDefault="006A5FCF" w:rsidP="00E9334F">
      <w:pPr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="Tahoma"/>
          <w:sz w:val="22"/>
        </w:rPr>
      </w:pPr>
      <w:r w:rsidRPr="006A5FCF">
        <w:rPr>
          <w:rFonts w:cs="Tahoma"/>
          <w:sz w:val="22"/>
        </w:rPr>
        <w:t>Gwarantem bezpieczeństwa „weksla inwestycyjnego” jest jedynie wypłacalność jego wystawcy – nie są one zabezpieczone systemem gwarancji Bankowego Funduszu Gwarancyjnego</w:t>
      </w:r>
      <w:r w:rsidR="00A156F9">
        <w:rPr>
          <w:rFonts w:cs="Tahoma"/>
          <w:sz w:val="22"/>
        </w:rPr>
        <w:t xml:space="preserve"> ani nie podlegają nadzorowi Komisji Nadzoru Finansowego</w:t>
      </w:r>
      <w:r w:rsidRPr="006A5FCF">
        <w:rPr>
          <w:rFonts w:cs="Tahoma"/>
          <w:sz w:val="22"/>
        </w:rPr>
        <w:t>.</w:t>
      </w:r>
      <w:r w:rsidR="005779EA">
        <w:rPr>
          <w:rFonts w:cs="Tahoma"/>
          <w:sz w:val="22"/>
        </w:rPr>
        <w:t xml:space="preserve"> </w:t>
      </w:r>
    </w:p>
    <w:p w14:paraId="71CB7002" w14:textId="77777777" w:rsidR="006A5FCF" w:rsidRPr="006A5FCF" w:rsidRDefault="006A5FCF" w:rsidP="00E9334F">
      <w:pPr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="Tahoma"/>
          <w:sz w:val="22"/>
        </w:rPr>
      </w:pPr>
      <w:r w:rsidRPr="006A5FCF">
        <w:rPr>
          <w:rFonts w:cs="Tahoma"/>
          <w:sz w:val="22"/>
        </w:rPr>
        <w:t>W przypadku upadłości wystawcy weksli, konsumenci mogą nie odzyskać swoich pieniędzy.</w:t>
      </w:r>
    </w:p>
    <w:p w14:paraId="2494F417" w14:textId="536F151D" w:rsidR="006A5FCF" w:rsidRDefault="006A5FCF" w:rsidP="00E9334F">
      <w:pPr>
        <w:numPr>
          <w:ilvl w:val="0"/>
          <w:numId w:val="42"/>
        </w:numPr>
        <w:shd w:val="clear" w:color="auto" w:fill="FFFFFF"/>
        <w:spacing w:after="150" w:line="360" w:lineRule="auto"/>
        <w:jc w:val="both"/>
        <w:rPr>
          <w:rFonts w:cs="Tahoma"/>
          <w:sz w:val="22"/>
        </w:rPr>
      </w:pPr>
      <w:r w:rsidRPr="006A5FCF">
        <w:rPr>
          <w:rFonts w:cs="Tahoma"/>
          <w:sz w:val="22"/>
        </w:rPr>
        <w:t>Oferty błędnie informują o gwarantowanej stopie zwrotu i</w:t>
      </w:r>
      <w:r w:rsidR="00A156F9">
        <w:rPr>
          <w:rFonts w:cs="Tahoma"/>
          <w:sz w:val="22"/>
        </w:rPr>
        <w:t xml:space="preserve"> pewności wypłat zysku </w:t>
      </w:r>
      <w:r w:rsidRPr="006A5FCF">
        <w:rPr>
          <w:rFonts w:cs="Tahoma"/>
          <w:sz w:val="22"/>
        </w:rPr>
        <w:t>– tymczasem inwestycja jest obarczona poważnym ryzykiem.</w:t>
      </w:r>
    </w:p>
    <w:p w14:paraId="74E81EC1" w14:textId="53011024" w:rsidR="00A156F9" w:rsidRDefault="005779EA" w:rsidP="00A156F9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Weksel nie jest prawem uczestnictwa w alternatywnej spółce inwestycyjnej. </w:t>
      </w:r>
      <w:r w:rsidR="00A156F9">
        <w:rPr>
          <w:rFonts w:cs="Tahoma"/>
          <w:sz w:val="22"/>
        </w:rPr>
        <w:t xml:space="preserve">Nie mają tu zastosowania </w:t>
      </w:r>
      <w:r w:rsidRPr="005779EA">
        <w:rPr>
          <w:rFonts w:cs="Tahoma"/>
          <w:sz w:val="22"/>
        </w:rPr>
        <w:t>przepis</w:t>
      </w:r>
      <w:r>
        <w:rPr>
          <w:rFonts w:cs="Tahoma"/>
          <w:sz w:val="22"/>
        </w:rPr>
        <w:t>y</w:t>
      </w:r>
      <w:r w:rsidRPr="005779EA">
        <w:rPr>
          <w:rFonts w:cs="Tahoma"/>
          <w:sz w:val="22"/>
        </w:rPr>
        <w:t xml:space="preserve"> i wymaga</w:t>
      </w:r>
      <w:r>
        <w:rPr>
          <w:rFonts w:cs="Tahoma"/>
          <w:sz w:val="22"/>
        </w:rPr>
        <w:t xml:space="preserve">nia </w:t>
      </w:r>
      <w:r w:rsidRPr="005779EA">
        <w:rPr>
          <w:rFonts w:cs="Tahoma"/>
          <w:sz w:val="22"/>
        </w:rPr>
        <w:t>dotycząc</w:t>
      </w:r>
      <w:r>
        <w:rPr>
          <w:rFonts w:cs="Tahoma"/>
          <w:sz w:val="22"/>
        </w:rPr>
        <w:t>e</w:t>
      </w:r>
      <w:r w:rsidRPr="005779EA">
        <w:rPr>
          <w:rFonts w:cs="Tahoma"/>
          <w:sz w:val="22"/>
        </w:rPr>
        <w:t xml:space="preserve"> publicznej emisji papierów wartościowych. </w:t>
      </w:r>
      <w:r w:rsidR="00EC1C18">
        <w:rPr>
          <w:rFonts w:cs="Tahoma"/>
          <w:sz w:val="22"/>
        </w:rPr>
        <w:t>Oznacza to</w:t>
      </w:r>
      <w:r w:rsidR="00A156F9">
        <w:rPr>
          <w:rFonts w:cs="Tahoma"/>
          <w:sz w:val="22"/>
        </w:rPr>
        <w:t xml:space="preserve">, że konsumenci mogą nie otrzymać rzetelnych informacji o wartości </w:t>
      </w:r>
      <w:r w:rsidR="00A156F9" w:rsidRPr="005779EA">
        <w:rPr>
          <w:rFonts w:cs="Tahoma"/>
          <w:sz w:val="22"/>
        </w:rPr>
        <w:t>zabezpieczenia takiego weksla, jego wystawcy czy ryzyku, jak również o przedsięwzięciu, na którego realizację powierza</w:t>
      </w:r>
      <w:r w:rsidR="00EC1C18">
        <w:rPr>
          <w:rFonts w:cs="Tahoma"/>
          <w:sz w:val="22"/>
        </w:rPr>
        <w:t>ją</w:t>
      </w:r>
      <w:r w:rsidR="00A156F9" w:rsidRPr="005779EA">
        <w:rPr>
          <w:rFonts w:cs="Tahoma"/>
          <w:sz w:val="22"/>
        </w:rPr>
        <w:t xml:space="preserve"> swoje środki</w:t>
      </w:r>
      <w:r w:rsidR="00EC1C18">
        <w:rPr>
          <w:rFonts w:cs="Tahoma"/>
          <w:sz w:val="22"/>
        </w:rPr>
        <w:t>.</w:t>
      </w:r>
    </w:p>
    <w:bookmarkEnd w:id="4"/>
    <w:p w14:paraId="6AD50A45" w14:textId="77777777" w:rsidR="004C5489" w:rsidRPr="005779EA" w:rsidRDefault="004C5489" w:rsidP="004C5489">
      <w:pPr>
        <w:pStyle w:val="Akapitzlist"/>
        <w:spacing w:line="360" w:lineRule="auto"/>
        <w:jc w:val="both"/>
        <w:rPr>
          <w:rFonts w:cs="Tahoma"/>
          <w:sz w:val="22"/>
        </w:rPr>
      </w:pPr>
    </w:p>
    <w:p w14:paraId="25160EB8" w14:textId="58141638" w:rsidR="00C00822" w:rsidRPr="006A5FCF" w:rsidRDefault="004C5489" w:rsidP="00E9334F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Odpowiedzi</w:t>
      </w:r>
      <w:r w:rsidR="006A5FCF" w:rsidRPr="006A5FCF">
        <w:rPr>
          <w:rFonts w:ascii="Trebuchet MS" w:hAnsi="Trebuchet MS" w:cs="Tahoma"/>
          <w:sz w:val="22"/>
          <w:szCs w:val="22"/>
        </w:rPr>
        <w:t xml:space="preserve"> na </w:t>
      </w:r>
      <w:hyperlink r:id="rId13" w:history="1">
        <w:r w:rsidR="006A5FCF" w:rsidRPr="0019028A">
          <w:rPr>
            <w:rStyle w:val="Hipercze"/>
            <w:rFonts w:ascii="Trebuchet MS" w:hAnsi="Trebuchet MS" w:cs="Tahoma"/>
            <w:sz w:val="22"/>
            <w:szCs w:val="22"/>
          </w:rPr>
          <w:t>najczęstsze pytania o „weksle inwestycyjne”</w:t>
        </w:r>
      </w:hyperlink>
      <w:r w:rsidR="006A5FCF" w:rsidRPr="00C1143C">
        <w:rPr>
          <w:rFonts w:cs="Tahoma"/>
          <w:sz w:val="22"/>
        </w:rPr>
        <w:t> </w:t>
      </w:r>
      <w:r w:rsidR="006A5FCF" w:rsidRPr="006A5FCF">
        <w:rPr>
          <w:rFonts w:ascii="Trebuchet MS" w:hAnsi="Trebuchet MS" w:cs="Tahoma"/>
          <w:sz w:val="22"/>
          <w:szCs w:val="22"/>
        </w:rPr>
        <w:t>(w dziale inwestycje alternatywne).</w:t>
      </w:r>
    </w:p>
    <w:p w14:paraId="1529B76F" w14:textId="77777777" w:rsidR="00CE49FB" w:rsidRDefault="00CE49FB" w:rsidP="00E9334F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Tahoma" w:eastAsia="Calibri" w:hAnsi="Tahoma" w:cs="Tahoma"/>
          <w:szCs w:val="18"/>
        </w:rPr>
      </w:pPr>
    </w:p>
    <w:p w14:paraId="7C910D6A" w14:textId="6A1DD2B7" w:rsidR="002B105F" w:rsidRPr="007E028F" w:rsidRDefault="002B105F" w:rsidP="002B105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5C2729B" w14:textId="75DBCF4E" w:rsidR="00DB69DB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5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5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4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5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0CACD9A7" w14:textId="1F0F9FFA" w:rsidR="009567A3" w:rsidRPr="009567A3" w:rsidRDefault="00E96B88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hyperlink r:id="rId16" w:history="1">
        <w:r w:rsidR="009567A3" w:rsidRPr="009567A3">
          <w:rPr>
            <w:rStyle w:val="Hipercze"/>
            <w:rFonts w:ascii="Tahoma" w:hAnsi="Tahoma" w:cs="Tahoma"/>
            <w:color w:val="133C8A"/>
            <w:sz w:val="18"/>
            <w:szCs w:val="18"/>
          </w:rPr>
          <w:t>Rzecznik Finansowy</w:t>
        </w:r>
      </w:hyperlink>
      <w:r w:rsidR="009567A3" w:rsidRPr="009567A3">
        <w:rPr>
          <w:rFonts w:ascii="Tahoma" w:hAnsi="Tahoma" w:cs="Tahoma"/>
          <w:szCs w:val="18"/>
          <w:shd w:val="clear" w:color="auto" w:fill="FFFFFF"/>
        </w:rPr>
        <w:t xml:space="preserve"> </w:t>
      </w:r>
      <w:r w:rsidR="009567A3" w:rsidRPr="009567A3">
        <w:rPr>
          <w:rFonts w:ascii="Tahoma" w:hAnsi="Tahoma" w:cs="Tahoma"/>
          <w:sz w:val="18"/>
          <w:szCs w:val="18"/>
        </w:rPr>
        <w:t>–</w:t>
      </w:r>
      <w:r w:rsidR="009567A3" w:rsidRPr="009567A3">
        <w:t xml:space="preserve"> </w:t>
      </w:r>
      <w:r w:rsidR="009567A3" w:rsidRPr="009567A3">
        <w:rPr>
          <w:rFonts w:ascii="Tahoma" w:hAnsi="Tahoma" w:cs="Tahoma"/>
          <w:sz w:val="18"/>
          <w:szCs w:val="18"/>
        </w:rPr>
        <w:t>po odrzuceniu reklamacji przez instytucję finansową</w:t>
      </w:r>
    </w:p>
    <w:p w14:paraId="47C8CE33" w14:textId="77777777" w:rsidR="006D466F" w:rsidRDefault="006D466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p w14:paraId="034BC9CA" w14:textId="77777777" w:rsidR="003F4064" w:rsidRDefault="003F4064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sectPr w:rsidR="003F4064" w:rsidSect="00717D54">
      <w:headerReference w:type="default" r:id="rId17"/>
      <w:footerReference w:type="default" r:id="rId18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310A" w14:textId="77777777" w:rsidR="00E96B88" w:rsidRDefault="00E96B88">
      <w:r>
        <w:separator/>
      </w:r>
    </w:p>
  </w:endnote>
  <w:endnote w:type="continuationSeparator" w:id="0">
    <w:p w14:paraId="65BE6764" w14:textId="77777777" w:rsidR="00E96B88" w:rsidRDefault="00E9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1A830" w14:textId="77777777" w:rsidR="00E96B88" w:rsidRDefault="00E96B88">
      <w:r>
        <w:separator/>
      </w:r>
    </w:p>
  </w:footnote>
  <w:footnote w:type="continuationSeparator" w:id="0">
    <w:p w14:paraId="626B9B93" w14:textId="77777777" w:rsidR="00E96B88" w:rsidRDefault="00E9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D89"/>
    <w:multiLevelType w:val="multilevel"/>
    <w:tmpl w:val="D9E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858C8"/>
    <w:multiLevelType w:val="multilevel"/>
    <w:tmpl w:val="71F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37"/>
  </w:num>
  <w:num w:numId="5">
    <w:abstractNumId w:val="13"/>
  </w:num>
  <w:num w:numId="6">
    <w:abstractNumId w:val="22"/>
  </w:num>
  <w:num w:numId="7">
    <w:abstractNumId w:val="21"/>
  </w:num>
  <w:num w:numId="8">
    <w:abstractNumId w:val="2"/>
  </w:num>
  <w:num w:numId="9">
    <w:abstractNumId w:val="3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4"/>
  </w:num>
  <w:num w:numId="13">
    <w:abstractNumId w:val="20"/>
  </w:num>
  <w:num w:numId="14">
    <w:abstractNumId w:val="14"/>
  </w:num>
  <w:num w:numId="15">
    <w:abstractNumId w:val="29"/>
  </w:num>
  <w:num w:numId="16">
    <w:abstractNumId w:val="7"/>
  </w:num>
  <w:num w:numId="17">
    <w:abstractNumId w:val="38"/>
  </w:num>
  <w:num w:numId="18">
    <w:abstractNumId w:val="26"/>
  </w:num>
  <w:num w:numId="19">
    <w:abstractNumId w:val="23"/>
  </w:num>
  <w:num w:numId="20">
    <w:abstractNumId w:val="24"/>
  </w:num>
  <w:num w:numId="21">
    <w:abstractNumId w:val="12"/>
  </w:num>
  <w:num w:numId="22">
    <w:abstractNumId w:val="36"/>
  </w:num>
  <w:num w:numId="23">
    <w:abstractNumId w:val="28"/>
  </w:num>
  <w:num w:numId="24">
    <w:abstractNumId w:val="10"/>
  </w:num>
  <w:num w:numId="25">
    <w:abstractNumId w:val="25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6"/>
  </w:num>
  <w:num w:numId="30">
    <w:abstractNumId w:val="0"/>
  </w:num>
  <w:num w:numId="31">
    <w:abstractNumId w:val="6"/>
  </w:num>
  <w:num w:numId="32">
    <w:abstractNumId w:val="8"/>
  </w:num>
  <w:num w:numId="33">
    <w:abstractNumId w:val="11"/>
  </w:num>
  <w:num w:numId="34">
    <w:abstractNumId w:val="5"/>
  </w:num>
  <w:num w:numId="35">
    <w:abstractNumId w:val="1"/>
  </w:num>
  <w:num w:numId="36">
    <w:abstractNumId w:val="33"/>
  </w:num>
  <w:num w:numId="37">
    <w:abstractNumId w:val="32"/>
  </w:num>
  <w:num w:numId="38">
    <w:abstractNumId w:val="9"/>
  </w:num>
  <w:num w:numId="39">
    <w:abstractNumId w:val="31"/>
  </w:num>
  <w:num w:numId="40">
    <w:abstractNumId w:val="35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215D9"/>
    <w:rsid w:val="00023634"/>
    <w:rsid w:val="00023AC3"/>
    <w:rsid w:val="000243F6"/>
    <w:rsid w:val="0002523D"/>
    <w:rsid w:val="00025538"/>
    <w:rsid w:val="000266E4"/>
    <w:rsid w:val="0003037E"/>
    <w:rsid w:val="0003153F"/>
    <w:rsid w:val="00032EB0"/>
    <w:rsid w:val="00033699"/>
    <w:rsid w:val="00035800"/>
    <w:rsid w:val="00035CF5"/>
    <w:rsid w:val="000408E2"/>
    <w:rsid w:val="00040DB1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5E73"/>
    <w:rsid w:val="00076B4D"/>
    <w:rsid w:val="0008080A"/>
    <w:rsid w:val="00080B84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753A"/>
    <w:rsid w:val="000E12AE"/>
    <w:rsid w:val="000E1518"/>
    <w:rsid w:val="000E189A"/>
    <w:rsid w:val="000E1AA4"/>
    <w:rsid w:val="000E1C2F"/>
    <w:rsid w:val="000E2416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5E44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BAF"/>
    <w:rsid w:val="00120FBD"/>
    <w:rsid w:val="0012220B"/>
    <w:rsid w:val="001224AA"/>
    <w:rsid w:val="00122F1C"/>
    <w:rsid w:val="0012424D"/>
    <w:rsid w:val="001251CB"/>
    <w:rsid w:val="00126E55"/>
    <w:rsid w:val="00127093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5F71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13A"/>
    <w:rsid w:val="001774F1"/>
    <w:rsid w:val="00177F28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28A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141C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7B79"/>
    <w:rsid w:val="001D0390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83D"/>
    <w:rsid w:val="00245A3A"/>
    <w:rsid w:val="00246AF4"/>
    <w:rsid w:val="00246E9C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10B"/>
    <w:rsid w:val="00262E81"/>
    <w:rsid w:val="002630AA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AC8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791"/>
    <w:rsid w:val="002C692D"/>
    <w:rsid w:val="002C6ABE"/>
    <w:rsid w:val="002C74C0"/>
    <w:rsid w:val="002C7775"/>
    <w:rsid w:val="002D0184"/>
    <w:rsid w:val="002D0410"/>
    <w:rsid w:val="002D205F"/>
    <w:rsid w:val="002D212A"/>
    <w:rsid w:val="002D2D27"/>
    <w:rsid w:val="002D3643"/>
    <w:rsid w:val="002D3E86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45A5"/>
    <w:rsid w:val="00315CEE"/>
    <w:rsid w:val="00316488"/>
    <w:rsid w:val="00321123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7A4"/>
    <w:rsid w:val="003379DB"/>
    <w:rsid w:val="0034059B"/>
    <w:rsid w:val="0034136C"/>
    <w:rsid w:val="0034262E"/>
    <w:rsid w:val="00343B6B"/>
    <w:rsid w:val="00343B89"/>
    <w:rsid w:val="0034406A"/>
    <w:rsid w:val="0034615A"/>
    <w:rsid w:val="00346816"/>
    <w:rsid w:val="00347F95"/>
    <w:rsid w:val="0035019C"/>
    <w:rsid w:val="00350EB7"/>
    <w:rsid w:val="003515E0"/>
    <w:rsid w:val="00351A52"/>
    <w:rsid w:val="00351F4F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77D"/>
    <w:rsid w:val="00386D24"/>
    <w:rsid w:val="00387DE6"/>
    <w:rsid w:val="003930D3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E7410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0B1"/>
    <w:rsid w:val="004C1243"/>
    <w:rsid w:val="004C15F3"/>
    <w:rsid w:val="004C2F3A"/>
    <w:rsid w:val="004C3BF0"/>
    <w:rsid w:val="004C5489"/>
    <w:rsid w:val="004C586A"/>
    <w:rsid w:val="004C5C26"/>
    <w:rsid w:val="004C6BC3"/>
    <w:rsid w:val="004D08D2"/>
    <w:rsid w:val="004D0F58"/>
    <w:rsid w:val="004D1295"/>
    <w:rsid w:val="004D2141"/>
    <w:rsid w:val="004D249B"/>
    <w:rsid w:val="004D2BAC"/>
    <w:rsid w:val="004D3A1C"/>
    <w:rsid w:val="004D3CF6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D8D"/>
    <w:rsid w:val="004F1FA5"/>
    <w:rsid w:val="004F35F3"/>
    <w:rsid w:val="004F37B1"/>
    <w:rsid w:val="004F416D"/>
    <w:rsid w:val="004F5DB3"/>
    <w:rsid w:val="004F6D89"/>
    <w:rsid w:val="004F7E99"/>
    <w:rsid w:val="005003F9"/>
    <w:rsid w:val="005015CB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6A73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98A"/>
    <w:rsid w:val="00554FCF"/>
    <w:rsid w:val="005550DC"/>
    <w:rsid w:val="0055631D"/>
    <w:rsid w:val="00557464"/>
    <w:rsid w:val="00557F33"/>
    <w:rsid w:val="00560948"/>
    <w:rsid w:val="00561F66"/>
    <w:rsid w:val="00561FE7"/>
    <w:rsid w:val="00565244"/>
    <w:rsid w:val="00565760"/>
    <w:rsid w:val="00566BB0"/>
    <w:rsid w:val="00567798"/>
    <w:rsid w:val="00567E03"/>
    <w:rsid w:val="00567FDA"/>
    <w:rsid w:val="005702CB"/>
    <w:rsid w:val="00571DA4"/>
    <w:rsid w:val="00574DD3"/>
    <w:rsid w:val="00575F8C"/>
    <w:rsid w:val="00577191"/>
    <w:rsid w:val="005779EA"/>
    <w:rsid w:val="0058203C"/>
    <w:rsid w:val="00582C29"/>
    <w:rsid w:val="00585AB6"/>
    <w:rsid w:val="0058675B"/>
    <w:rsid w:val="0058777C"/>
    <w:rsid w:val="00591B6B"/>
    <w:rsid w:val="00591F80"/>
    <w:rsid w:val="0059345E"/>
    <w:rsid w:val="005935A8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127"/>
    <w:rsid w:val="005B030A"/>
    <w:rsid w:val="005B059A"/>
    <w:rsid w:val="005B19BE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805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7903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70421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5EB9"/>
    <w:rsid w:val="006A5FCF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5EB"/>
    <w:rsid w:val="006C76BE"/>
    <w:rsid w:val="006D050B"/>
    <w:rsid w:val="006D0B53"/>
    <w:rsid w:val="006D17BE"/>
    <w:rsid w:val="006D17E9"/>
    <w:rsid w:val="006D3DC5"/>
    <w:rsid w:val="006D466F"/>
    <w:rsid w:val="006D650F"/>
    <w:rsid w:val="006E1AB6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EF6"/>
    <w:rsid w:val="007004CD"/>
    <w:rsid w:val="0070121D"/>
    <w:rsid w:val="00702C5E"/>
    <w:rsid w:val="007039EC"/>
    <w:rsid w:val="0070408F"/>
    <w:rsid w:val="00705E92"/>
    <w:rsid w:val="007065AF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3D3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1B4C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77DEE"/>
    <w:rsid w:val="00780D02"/>
    <w:rsid w:val="0078121E"/>
    <w:rsid w:val="007824E6"/>
    <w:rsid w:val="007838E4"/>
    <w:rsid w:val="007846DC"/>
    <w:rsid w:val="00785104"/>
    <w:rsid w:val="00786975"/>
    <w:rsid w:val="0078785A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B7B59"/>
    <w:rsid w:val="007C1E8D"/>
    <w:rsid w:val="007C277F"/>
    <w:rsid w:val="007C297F"/>
    <w:rsid w:val="007C2F70"/>
    <w:rsid w:val="007C3985"/>
    <w:rsid w:val="007C5A14"/>
    <w:rsid w:val="007C6DA3"/>
    <w:rsid w:val="007C7688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4345"/>
    <w:rsid w:val="00805B7A"/>
    <w:rsid w:val="00805E74"/>
    <w:rsid w:val="008066FC"/>
    <w:rsid w:val="00806BA7"/>
    <w:rsid w:val="0080716D"/>
    <w:rsid w:val="00812939"/>
    <w:rsid w:val="00813413"/>
    <w:rsid w:val="00814D53"/>
    <w:rsid w:val="00815704"/>
    <w:rsid w:val="00815D4B"/>
    <w:rsid w:val="0081753E"/>
    <w:rsid w:val="008213FE"/>
    <w:rsid w:val="00823547"/>
    <w:rsid w:val="00827774"/>
    <w:rsid w:val="00827827"/>
    <w:rsid w:val="00830648"/>
    <w:rsid w:val="00830719"/>
    <w:rsid w:val="008321A4"/>
    <w:rsid w:val="0083283F"/>
    <w:rsid w:val="0083293F"/>
    <w:rsid w:val="00833979"/>
    <w:rsid w:val="00834954"/>
    <w:rsid w:val="008349BE"/>
    <w:rsid w:val="00834C48"/>
    <w:rsid w:val="00834D87"/>
    <w:rsid w:val="0083591C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54F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76B75"/>
    <w:rsid w:val="00880D9B"/>
    <w:rsid w:val="0088199F"/>
    <w:rsid w:val="008843B9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6663"/>
    <w:rsid w:val="008B7A30"/>
    <w:rsid w:val="008C0BB7"/>
    <w:rsid w:val="008C0FF1"/>
    <w:rsid w:val="008C2229"/>
    <w:rsid w:val="008C2A81"/>
    <w:rsid w:val="008C3481"/>
    <w:rsid w:val="008C35B3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35DD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063C"/>
    <w:rsid w:val="009111FD"/>
    <w:rsid w:val="00911339"/>
    <w:rsid w:val="00912185"/>
    <w:rsid w:val="00913F45"/>
    <w:rsid w:val="009145E7"/>
    <w:rsid w:val="00915501"/>
    <w:rsid w:val="00922669"/>
    <w:rsid w:val="0092406E"/>
    <w:rsid w:val="00924ABC"/>
    <w:rsid w:val="00925499"/>
    <w:rsid w:val="00926965"/>
    <w:rsid w:val="00926D5F"/>
    <w:rsid w:val="00931434"/>
    <w:rsid w:val="009340A4"/>
    <w:rsid w:val="00934895"/>
    <w:rsid w:val="00934FDD"/>
    <w:rsid w:val="00936790"/>
    <w:rsid w:val="00936B60"/>
    <w:rsid w:val="00940220"/>
    <w:rsid w:val="0094032B"/>
    <w:rsid w:val="00940E8F"/>
    <w:rsid w:val="00941009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309C"/>
    <w:rsid w:val="00953FEB"/>
    <w:rsid w:val="009556A5"/>
    <w:rsid w:val="009567A3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2B4"/>
    <w:rsid w:val="009B03B0"/>
    <w:rsid w:val="009B1F53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D1E9E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7374"/>
    <w:rsid w:val="009F010C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5E04"/>
    <w:rsid w:val="00A06E7C"/>
    <w:rsid w:val="00A11DA1"/>
    <w:rsid w:val="00A12F9F"/>
    <w:rsid w:val="00A13244"/>
    <w:rsid w:val="00A14123"/>
    <w:rsid w:val="00A14965"/>
    <w:rsid w:val="00A156F9"/>
    <w:rsid w:val="00A179F8"/>
    <w:rsid w:val="00A20353"/>
    <w:rsid w:val="00A2072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589C"/>
    <w:rsid w:val="00A36409"/>
    <w:rsid w:val="00A37362"/>
    <w:rsid w:val="00A37AFE"/>
    <w:rsid w:val="00A439E8"/>
    <w:rsid w:val="00A444F4"/>
    <w:rsid w:val="00A4462E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4DF3"/>
    <w:rsid w:val="00A653B5"/>
    <w:rsid w:val="00A65F20"/>
    <w:rsid w:val="00A67858"/>
    <w:rsid w:val="00A67DE9"/>
    <w:rsid w:val="00A711B4"/>
    <w:rsid w:val="00A73834"/>
    <w:rsid w:val="00A738D8"/>
    <w:rsid w:val="00A73F04"/>
    <w:rsid w:val="00A73FFE"/>
    <w:rsid w:val="00A7430C"/>
    <w:rsid w:val="00A74AF5"/>
    <w:rsid w:val="00A74F34"/>
    <w:rsid w:val="00A753B7"/>
    <w:rsid w:val="00A76293"/>
    <w:rsid w:val="00A769DD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BCF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6DE"/>
    <w:rsid w:val="00AE5B6F"/>
    <w:rsid w:val="00AE66CE"/>
    <w:rsid w:val="00AE6CA7"/>
    <w:rsid w:val="00AE7954"/>
    <w:rsid w:val="00AE7F9D"/>
    <w:rsid w:val="00AF01E8"/>
    <w:rsid w:val="00AF1794"/>
    <w:rsid w:val="00AF1EB6"/>
    <w:rsid w:val="00AF2032"/>
    <w:rsid w:val="00AF2BDE"/>
    <w:rsid w:val="00AF3072"/>
    <w:rsid w:val="00AF5B71"/>
    <w:rsid w:val="00B01125"/>
    <w:rsid w:val="00B01D10"/>
    <w:rsid w:val="00B02785"/>
    <w:rsid w:val="00B028F7"/>
    <w:rsid w:val="00B0348F"/>
    <w:rsid w:val="00B04342"/>
    <w:rsid w:val="00B04DF5"/>
    <w:rsid w:val="00B05B89"/>
    <w:rsid w:val="00B1069E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43F1C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6E2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6FB"/>
    <w:rsid w:val="00BA1749"/>
    <w:rsid w:val="00BA26F7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C5A3B"/>
    <w:rsid w:val="00BD02D7"/>
    <w:rsid w:val="00BD0481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0822"/>
    <w:rsid w:val="00C010CB"/>
    <w:rsid w:val="00C013A8"/>
    <w:rsid w:val="00C0175B"/>
    <w:rsid w:val="00C056DA"/>
    <w:rsid w:val="00C1143C"/>
    <w:rsid w:val="00C119BE"/>
    <w:rsid w:val="00C11FA4"/>
    <w:rsid w:val="00C120F5"/>
    <w:rsid w:val="00C123B1"/>
    <w:rsid w:val="00C13143"/>
    <w:rsid w:val="00C13777"/>
    <w:rsid w:val="00C13F3E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606C"/>
    <w:rsid w:val="00C36666"/>
    <w:rsid w:val="00C3700F"/>
    <w:rsid w:val="00C4181D"/>
    <w:rsid w:val="00C424B3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146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60D8"/>
    <w:rsid w:val="00C90FD5"/>
    <w:rsid w:val="00C911F7"/>
    <w:rsid w:val="00C9354B"/>
    <w:rsid w:val="00C93D2C"/>
    <w:rsid w:val="00C94729"/>
    <w:rsid w:val="00C95633"/>
    <w:rsid w:val="00C96D26"/>
    <w:rsid w:val="00C978B9"/>
    <w:rsid w:val="00C97DA3"/>
    <w:rsid w:val="00CA06EB"/>
    <w:rsid w:val="00CA1461"/>
    <w:rsid w:val="00CA2223"/>
    <w:rsid w:val="00CA24A9"/>
    <w:rsid w:val="00CA4A00"/>
    <w:rsid w:val="00CA4D7E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5B71"/>
    <w:rsid w:val="00CD706D"/>
    <w:rsid w:val="00CD76F2"/>
    <w:rsid w:val="00CE0954"/>
    <w:rsid w:val="00CE1B21"/>
    <w:rsid w:val="00CE25BD"/>
    <w:rsid w:val="00CE38AF"/>
    <w:rsid w:val="00CE49FB"/>
    <w:rsid w:val="00CE4F79"/>
    <w:rsid w:val="00CF11F7"/>
    <w:rsid w:val="00CF331B"/>
    <w:rsid w:val="00CF4F69"/>
    <w:rsid w:val="00D00EC7"/>
    <w:rsid w:val="00D04342"/>
    <w:rsid w:val="00D04888"/>
    <w:rsid w:val="00D04ABA"/>
    <w:rsid w:val="00D05167"/>
    <w:rsid w:val="00D0608A"/>
    <w:rsid w:val="00D06B87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0C7D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3530A"/>
    <w:rsid w:val="00D40D72"/>
    <w:rsid w:val="00D42854"/>
    <w:rsid w:val="00D43766"/>
    <w:rsid w:val="00D44298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1C38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3DE4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9694B"/>
    <w:rsid w:val="00DA31E8"/>
    <w:rsid w:val="00DA512D"/>
    <w:rsid w:val="00DA53D2"/>
    <w:rsid w:val="00DA5661"/>
    <w:rsid w:val="00DA5747"/>
    <w:rsid w:val="00DA657E"/>
    <w:rsid w:val="00DA753F"/>
    <w:rsid w:val="00DA7D51"/>
    <w:rsid w:val="00DB172B"/>
    <w:rsid w:val="00DB52B3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4CE1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88D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FBB"/>
    <w:rsid w:val="00E3705A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685D"/>
    <w:rsid w:val="00E678DF"/>
    <w:rsid w:val="00E7109D"/>
    <w:rsid w:val="00E71F4A"/>
    <w:rsid w:val="00E7345C"/>
    <w:rsid w:val="00E73D03"/>
    <w:rsid w:val="00E74719"/>
    <w:rsid w:val="00E75633"/>
    <w:rsid w:val="00E76CD1"/>
    <w:rsid w:val="00E81E81"/>
    <w:rsid w:val="00E824EE"/>
    <w:rsid w:val="00E82F02"/>
    <w:rsid w:val="00E84341"/>
    <w:rsid w:val="00E87030"/>
    <w:rsid w:val="00E900C6"/>
    <w:rsid w:val="00E9334F"/>
    <w:rsid w:val="00E94F89"/>
    <w:rsid w:val="00E96A89"/>
    <w:rsid w:val="00E96B88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39A5"/>
    <w:rsid w:val="00EB4CF6"/>
    <w:rsid w:val="00EB4E1E"/>
    <w:rsid w:val="00EB5949"/>
    <w:rsid w:val="00EB5B19"/>
    <w:rsid w:val="00EB5B33"/>
    <w:rsid w:val="00EB685B"/>
    <w:rsid w:val="00EC048A"/>
    <w:rsid w:val="00EC1C18"/>
    <w:rsid w:val="00EC4740"/>
    <w:rsid w:val="00EC4F38"/>
    <w:rsid w:val="00EC7405"/>
    <w:rsid w:val="00EC7440"/>
    <w:rsid w:val="00ED107D"/>
    <w:rsid w:val="00ED11A3"/>
    <w:rsid w:val="00ED200B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27C"/>
    <w:rsid w:val="00F264B3"/>
    <w:rsid w:val="00F26D6F"/>
    <w:rsid w:val="00F30257"/>
    <w:rsid w:val="00F3243D"/>
    <w:rsid w:val="00F325A5"/>
    <w:rsid w:val="00F334D1"/>
    <w:rsid w:val="00F33572"/>
    <w:rsid w:val="00F33F80"/>
    <w:rsid w:val="00F3461C"/>
    <w:rsid w:val="00F34E4C"/>
    <w:rsid w:val="00F356D3"/>
    <w:rsid w:val="00F36403"/>
    <w:rsid w:val="00F36539"/>
    <w:rsid w:val="00F376EE"/>
    <w:rsid w:val="00F37D33"/>
    <w:rsid w:val="00F403ED"/>
    <w:rsid w:val="00F40BE4"/>
    <w:rsid w:val="00F41236"/>
    <w:rsid w:val="00F41A58"/>
    <w:rsid w:val="00F41D6F"/>
    <w:rsid w:val="00F423F8"/>
    <w:rsid w:val="00F44FDA"/>
    <w:rsid w:val="00F458E6"/>
    <w:rsid w:val="00F46D0D"/>
    <w:rsid w:val="00F47C92"/>
    <w:rsid w:val="00F509A1"/>
    <w:rsid w:val="00F514DB"/>
    <w:rsid w:val="00F51C7A"/>
    <w:rsid w:val="00F54275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2E6E"/>
    <w:rsid w:val="00F72EF6"/>
    <w:rsid w:val="00F74BEC"/>
    <w:rsid w:val="00F774CC"/>
    <w:rsid w:val="00F7753A"/>
    <w:rsid w:val="00F77C5E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6F4E"/>
    <w:rsid w:val="00F972BD"/>
    <w:rsid w:val="00FA00A5"/>
    <w:rsid w:val="00FA10A3"/>
    <w:rsid w:val="00FA1226"/>
    <w:rsid w:val="00FA25D8"/>
    <w:rsid w:val="00FA4E85"/>
    <w:rsid w:val="00FB1CE2"/>
    <w:rsid w:val="00FB2594"/>
    <w:rsid w:val="00FB26D7"/>
    <w:rsid w:val="00FB4CCB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0E2B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se.uokik.gov.pl/faq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ostrzezenia_konsumenckie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f.gov.pl/jak-pomaga-rzecznik-finansowy/porad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6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aktualnosci.php?news_id=1927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kik.gov.pl/ostrzezenia_konsumenckie.php?news_id=19527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B74B-1139-494D-8FD6-555180409F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180ED3-021A-4FC4-B559-BF59CE8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7</cp:revision>
  <cp:lastPrinted>2023-04-13T12:47:00Z</cp:lastPrinted>
  <dcterms:created xsi:type="dcterms:W3CDTF">2023-04-26T16:07:00Z</dcterms:created>
  <dcterms:modified xsi:type="dcterms:W3CDTF">2023-04-27T08:27:00Z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a8b9cf2f-6987-4caf-809b-0641e4212242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