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9304" w14:textId="5A517A99" w:rsidR="003F1541" w:rsidRPr="00ED5F0F" w:rsidRDefault="003F1541" w:rsidP="00ED5F0F">
      <w:pPr>
        <w:autoSpaceDE w:val="0"/>
        <w:autoSpaceDN w:val="0"/>
        <w:adjustRightInd w:val="0"/>
        <w:spacing w:before="360" w:after="360"/>
        <w:jc w:val="left"/>
        <w:rPr>
          <w:rFonts w:ascii="Arial" w:hAnsi="Arial" w:cs="Arial"/>
          <w:b/>
          <w:bCs/>
          <w:sz w:val="32"/>
          <w:szCs w:val="32"/>
        </w:rPr>
      </w:pPr>
      <w:bookmarkStart w:id="0" w:name="ezdPracownikNazwa"/>
      <w:r w:rsidRPr="00ED5F0F">
        <w:rPr>
          <w:rFonts w:ascii="Arial" w:hAnsi="Arial" w:cs="Arial"/>
          <w:b/>
          <w:bCs/>
          <w:sz w:val="32"/>
          <w:szCs w:val="32"/>
        </w:rPr>
        <w:t>Sprawozdanie z działalności Inspekcji Handlow</w:t>
      </w:r>
      <w:r w:rsidR="007E31C5" w:rsidRPr="00ED5F0F">
        <w:rPr>
          <w:rFonts w:ascii="Arial" w:hAnsi="Arial" w:cs="Arial"/>
          <w:b/>
          <w:bCs/>
          <w:sz w:val="32"/>
          <w:szCs w:val="32"/>
        </w:rPr>
        <w:t>ej jako podmiotu ADR za rok 2021</w:t>
      </w:r>
    </w:p>
    <w:p w14:paraId="1B14D739" w14:textId="33AC64EB" w:rsidR="003F1541" w:rsidRPr="00ED5F0F" w:rsidRDefault="003F1541" w:rsidP="00166448">
      <w:pPr>
        <w:autoSpaceDE w:val="0"/>
        <w:autoSpaceDN w:val="0"/>
        <w:adjustRightInd w:val="0"/>
        <w:spacing w:before="120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>Zgodnie z art. 11 ustawy z dnia z dnia 23 września 2016 r. o pozasądowym rozwiązywaniu sporów konsumenckich (Dz.</w:t>
      </w:r>
      <w:r w:rsidR="004A46B1" w:rsidRPr="00ED5F0F">
        <w:rPr>
          <w:rFonts w:ascii="Arial" w:eastAsia="Times New Roman" w:hAnsi="Arial" w:cs="Arial"/>
          <w:sz w:val="24"/>
          <w:szCs w:val="24"/>
        </w:rPr>
        <w:t xml:space="preserve"> </w:t>
      </w:r>
      <w:r w:rsidRPr="00ED5F0F">
        <w:rPr>
          <w:rFonts w:ascii="Arial" w:eastAsia="Times New Roman" w:hAnsi="Arial" w:cs="Arial"/>
          <w:sz w:val="24"/>
          <w:szCs w:val="24"/>
        </w:rPr>
        <w:t>U. z 2016 r. poz. 1823) Inspekcja Handlowa ma obowiązek sporządzić</w:t>
      </w:r>
      <w:r w:rsidR="00166448" w:rsidRPr="00ED5F0F">
        <w:rPr>
          <w:rFonts w:ascii="Arial" w:eastAsia="Times New Roman" w:hAnsi="Arial" w:cs="Arial"/>
          <w:sz w:val="24"/>
          <w:szCs w:val="24"/>
        </w:rPr>
        <w:t xml:space="preserve"> </w:t>
      </w:r>
      <w:r w:rsidRPr="00ED5F0F">
        <w:rPr>
          <w:rFonts w:ascii="Arial" w:eastAsia="Times New Roman" w:hAnsi="Arial" w:cs="Arial"/>
          <w:sz w:val="24"/>
          <w:szCs w:val="24"/>
        </w:rPr>
        <w:t>sprawozdanie z działalności wojewódzkich inspektoratów Inspekcji Handlowej jako podmiotu ADR.</w:t>
      </w:r>
    </w:p>
    <w:p w14:paraId="27B29646" w14:textId="77777777" w:rsidR="003F1541" w:rsidRPr="00ED5F0F" w:rsidRDefault="003F1541" w:rsidP="004E15E3">
      <w:pPr>
        <w:pStyle w:val="Nagwek2"/>
        <w:numPr>
          <w:ilvl w:val="0"/>
          <w:numId w:val="4"/>
        </w:numPr>
        <w:spacing w:before="120" w:after="120"/>
        <w:ind w:left="567" w:hanging="567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ED5F0F">
        <w:rPr>
          <w:rFonts w:ascii="Arial" w:eastAsia="Times New Roman" w:hAnsi="Arial" w:cs="Arial"/>
          <w:b/>
          <w:bCs/>
          <w:color w:val="auto"/>
          <w:sz w:val="24"/>
          <w:szCs w:val="24"/>
        </w:rPr>
        <w:t>Informacja o liczbie wniosków o wszczęcie postępowania w sprawie pozasądowego rozwiązywania sporów konsumenckich, które wpłynęły do podmiotu uprawnionego oraz wskazanie ich przedmiotu</w:t>
      </w:r>
    </w:p>
    <w:p w14:paraId="093BCB9B" w14:textId="77777777" w:rsidR="003F1541" w:rsidRPr="00ED5F0F" w:rsidRDefault="003F1541" w:rsidP="00166448">
      <w:pPr>
        <w:autoSpaceDE w:val="0"/>
        <w:autoSpaceDN w:val="0"/>
        <w:adjustRightInd w:val="0"/>
        <w:spacing w:before="120"/>
        <w:ind w:left="567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>Do podmiotu uprawnionego</w:t>
      </w:r>
      <w:r w:rsidR="004A46B1" w:rsidRPr="00ED5F0F">
        <w:rPr>
          <w:rFonts w:ascii="Arial" w:eastAsia="Times New Roman" w:hAnsi="Arial" w:cs="Arial"/>
          <w:sz w:val="24"/>
          <w:szCs w:val="24"/>
        </w:rPr>
        <w:t xml:space="preserve">, którym </w:t>
      </w:r>
      <w:r w:rsidRPr="00ED5F0F">
        <w:rPr>
          <w:rFonts w:ascii="Arial" w:eastAsia="Times New Roman" w:hAnsi="Arial" w:cs="Arial"/>
          <w:sz w:val="24"/>
          <w:szCs w:val="24"/>
        </w:rPr>
        <w:t>jest Inspekcja Handlowa reprezentowana</w:t>
      </w:r>
      <w:r w:rsidR="004A46B1" w:rsidRPr="00ED5F0F">
        <w:rPr>
          <w:rFonts w:ascii="Arial" w:eastAsia="Times New Roman" w:hAnsi="Arial" w:cs="Arial"/>
          <w:sz w:val="24"/>
          <w:szCs w:val="24"/>
        </w:rPr>
        <w:br/>
      </w:r>
      <w:r w:rsidRPr="00ED5F0F">
        <w:rPr>
          <w:rFonts w:ascii="Arial" w:eastAsia="Times New Roman" w:hAnsi="Arial" w:cs="Arial"/>
          <w:sz w:val="24"/>
          <w:szCs w:val="24"/>
        </w:rPr>
        <w:t xml:space="preserve">w każdym województwie przez Wojewódzkiego Inspektora Inspekcji Handlowej (WIIH) wpłynęło łącznie </w:t>
      </w:r>
      <w:r w:rsidR="007E31C5" w:rsidRPr="00ED5F0F">
        <w:rPr>
          <w:rFonts w:ascii="Arial" w:eastAsia="Times New Roman" w:hAnsi="Arial" w:cs="Arial"/>
          <w:b/>
          <w:sz w:val="24"/>
          <w:szCs w:val="24"/>
        </w:rPr>
        <w:t>4260</w:t>
      </w:r>
      <w:r w:rsidR="007E31C5" w:rsidRPr="00ED5F0F">
        <w:rPr>
          <w:rFonts w:ascii="Arial" w:eastAsia="Times New Roman" w:hAnsi="Arial" w:cs="Arial"/>
          <w:sz w:val="24"/>
          <w:szCs w:val="24"/>
        </w:rPr>
        <w:t xml:space="preserve"> </w:t>
      </w:r>
      <w:r w:rsidRPr="00ED5F0F">
        <w:rPr>
          <w:rFonts w:ascii="Arial" w:eastAsia="Times New Roman" w:hAnsi="Arial" w:cs="Arial"/>
          <w:sz w:val="24"/>
          <w:szCs w:val="24"/>
        </w:rPr>
        <w:t xml:space="preserve">wniosków. </w:t>
      </w:r>
    </w:p>
    <w:p w14:paraId="55FEBA6C" w14:textId="77777777" w:rsidR="003F1541" w:rsidRPr="00ED5F0F" w:rsidRDefault="003F1541" w:rsidP="00166448">
      <w:pPr>
        <w:autoSpaceDE w:val="0"/>
        <w:autoSpaceDN w:val="0"/>
        <w:adjustRightInd w:val="0"/>
        <w:spacing w:before="120"/>
        <w:ind w:left="567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>Większość wniosków</w:t>
      </w:r>
      <w:r w:rsidR="002D0770" w:rsidRPr="00ED5F0F">
        <w:rPr>
          <w:rFonts w:ascii="Arial" w:eastAsia="Times New Roman" w:hAnsi="Arial" w:cs="Arial"/>
          <w:sz w:val="24"/>
          <w:szCs w:val="24"/>
        </w:rPr>
        <w:t>,</w:t>
      </w:r>
      <w:r w:rsidRPr="00ED5F0F">
        <w:rPr>
          <w:rFonts w:ascii="Arial" w:eastAsia="Times New Roman" w:hAnsi="Arial" w:cs="Arial"/>
          <w:sz w:val="24"/>
          <w:szCs w:val="24"/>
        </w:rPr>
        <w:t xml:space="preserve"> tj. </w:t>
      </w:r>
      <w:r w:rsidR="00BD4EB5" w:rsidRPr="00ED5F0F">
        <w:rPr>
          <w:rFonts w:ascii="Arial" w:eastAsia="Times New Roman" w:hAnsi="Arial" w:cs="Arial"/>
          <w:b/>
          <w:sz w:val="24"/>
          <w:szCs w:val="24"/>
        </w:rPr>
        <w:t>3455</w:t>
      </w:r>
      <w:r w:rsidRPr="00ED5F0F">
        <w:rPr>
          <w:rFonts w:ascii="Arial" w:eastAsia="Times New Roman" w:hAnsi="Arial" w:cs="Arial"/>
          <w:sz w:val="24"/>
          <w:szCs w:val="24"/>
        </w:rPr>
        <w:t xml:space="preserve"> dotyczyło artykułów przemysłowych, w tym </w:t>
      </w:r>
      <w:r w:rsidR="00BD4EB5" w:rsidRPr="00ED5F0F">
        <w:rPr>
          <w:rFonts w:ascii="Arial" w:eastAsia="Times New Roman" w:hAnsi="Arial" w:cs="Arial"/>
          <w:b/>
          <w:sz w:val="24"/>
          <w:szCs w:val="24"/>
        </w:rPr>
        <w:t>1043</w:t>
      </w:r>
      <w:r w:rsidRPr="00ED5F0F">
        <w:rPr>
          <w:rFonts w:ascii="Arial" w:eastAsia="Times New Roman" w:hAnsi="Arial" w:cs="Arial"/>
          <w:sz w:val="24"/>
          <w:szCs w:val="24"/>
        </w:rPr>
        <w:t xml:space="preserve"> obuwia. Sprzętu RTV i AGD dotyczyło</w:t>
      </w:r>
      <w:r w:rsidR="00BD4EB5" w:rsidRPr="00ED5F0F">
        <w:rPr>
          <w:rFonts w:ascii="Arial" w:eastAsia="Times New Roman" w:hAnsi="Arial" w:cs="Arial"/>
          <w:b/>
          <w:sz w:val="24"/>
          <w:szCs w:val="24"/>
        </w:rPr>
        <w:t xml:space="preserve"> 511</w:t>
      </w:r>
      <w:r w:rsidRPr="00ED5F0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D5F0F">
        <w:rPr>
          <w:rFonts w:ascii="Arial" w:eastAsia="Times New Roman" w:hAnsi="Arial" w:cs="Arial"/>
          <w:sz w:val="24"/>
          <w:szCs w:val="24"/>
        </w:rPr>
        <w:t xml:space="preserve">wniosków, odzieży </w:t>
      </w:r>
      <w:r w:rsidR="00BD4EB5" w:rsidRPr="00ED5F0F">
        <w:rPr>
          <w:rFonts w:ascii="Arial" w:eastAsia="Times New Roman" w:hAnsi="Arial" w:cs="Arial"/>
          <w:b/>
          <w:sz w:val="24"/>
          <w:szCs w:val="24"/>
        </w:rPr>
        <w:t>272</w:t>
      </w:r>
      <w:r w:rsidRPr="00ED5F0F">
        <w:rPr>
          <w:rFonts w:ascii="Arial" w:eastAsia="Times New Roman" w:hAnsi="Arial" w:cs="Arial"/>
          <w:b/>
          <w:sz w:val="24"/>
          <w:szCs w:val="24"/>
        </w:rPr>
        <w:t>,</w:t>
      </w:r>
      <w:r w:rsidRPr="00ED5F0F">
        <w:rPr>
          <w:rFonts w:ascii="Arial" w:eastAsia="Times New Roman" w:hAnsi="Arial" w:cs="Arial"/>
          <w:sz w:val="24"/>
          <w:szCs w:val="24"/>
        </w:rPr>
        <w:t xml:space="preserve"> mebli </w:t>
      </w:r>
      <w:r w:rsidR="00BD4EB5" w:rsidRPr="00ED5F0F">
        <w:rPr>
          <w:rFonts w:ascii="Arial" w:eastAsia="Times New Roman" w:hAnsi="Arial" w:cs="Arial"/>
          <w:b/>
          <w:sz w:val="24"/>
          <w:szCs w:val="24"/>
        </w:rPr>
        <w:t>313</w:t>
      </w:r>
      <w:r w:rsidRPr="00ED5F0F">
        <w:rPr>
          <w:rFonts w:ascii="Arial" w:eastAsia="Times New Roman" w:hAnsi="Arial" w:cs="Arial"/>
          <w:sz w:val="24"/>
          <w:szCs w:val="24"/>
        </w:rPr>
        <w:t xml:space="preserve">, artykułów motoryzacyjnych </w:t>
      </w:r>
      <w:r w:rsidR="00BD4EB5" w:rsidRPr="00ED5F0F">
        <w:rPr>
          <w:rFonts w:ascii="Arial" w:eastAsia="Times New Roman" w:hAnsi="Arial" w:cs="Arial"/>
          <w:b/>
          <w:sz w:val="24"/>
          <w:szCs w:val="24"/>
        </w:rPr>
        <w:t>128</w:t>
      </w:r>
      <w:r w:rsidRPr="00ED5F0F">
        <w:rPr>
          <w:rFonts w:ascii="Arial" w:eastAsia="Times New Roman" w:hAnsi="Arial" w:cs="Arial"/>
          <w:sz w:val="24"/>
          <w:szCs w:val="24"/>
        </w:rPr>
        <w:t xml:space="preserve">, galanterii </w:t>
      </w:r>
      <w:r w:rsidR="00BD4EB5" w:rsidRPr="00ED5F0F">
        <w:rPr>
          <w:rFonts w:ascii="Arial" w:eastAsia="Times New Roman" w:hAnsi="Arial" w:cs="Arial"/>
          <w:b/>
          <w:sz w:val="24"/>
          <w:szCs w:val="24"/>
        </w:rPr>
        <w:t>68</w:t>
      </w:r>
      <w:r w:rsidRPr="00ED5F0F">
        <w:rPr>
          <w:rFonts w:ascii="Arial" w:eastAsia="Times New Roman" w:hAnsi="Arial" w:cs="Arial"/>
          <w:sz w:val="24"/>
          <w:szCs w:val="24"/>
        </w:rPr>
        <w:t xml:space="preserve">, sprzętu komputerowego </w:t>
      </w:r>
      <w:r w:rsidR="00BD4EB5" w:rsidRPr="00ED5F0F">
        <w:rPr>
          <w:rFonts w:ascii="Arial" w:eastAsia="Times New Roman" w:hAnsi="Arial" w:cs="Arial"/>
          <w:b/>
          <w:sz w:val="24"/>
          <w:szCs w:val="24"/>
        </w:rPr>
        <w:t>120</w:t>
      </w:r>
      <w:r w:rsidRPr="00ED5F0F">
        <w:rPr>
          <w:rFonts w:ascii="Arial" w:eastAsia="Times New Roman" w:hAnsi="Arial" w:cs="Arial"/>
          <w:sz w:val="24"/>
          <w:szCs w:val="24"/>
        </w:rPr>
        <w:t xml:space="preserve">, zabawek </w:t>
      </w:r>
      <w:r w:rsidR="006368FE" w:rsidRPr="00ED5F0F">
        <w:rPr>
          <w:rFonts w:ascii="Arial" w:eastAsia="Times New Roman" w:hAnsi="Arial" w:cs="Arial"/>
          <w:sz w:val="24"/>
          <w:szCs w:val="24"/>
        </w:rPr>
        <w:t>1</w:t>
      </w:r>
      <w:r w:rsidR="006368FE" w:rsidRPr="00ED5F0F">
        <w:rPr>
          <w:rFonts w:ascii="Arial" w:eastAsia="Times New Roman" w:hAnsi="Arial" w:cs="Arial"/>
          <w:b/>
          <w:sz w:val="24"/>
          <w:szCs w:val="24"/>
        </w:rPr>
        <w:t>8</w:t>
      </w:r>
      <w:r w:rsidRPr="00ED5F0F">
        <w:rPr>
          <w:rFonts w:ascii="Arial" w:eastAsia="Times New Roman" w:hAnsi="Arial" w:cs="Arial"/>
          <w:sz w:val="24"/>
          <w:szCs w:val="24"/>
        </w:rPr>
        <w:t>, paliw ciekłych i LPG</w:t>
      </w:r>
      <w:r w:rsidR="006368FE" w:rsidRPr="00ED5F0F">
        <w:rPr>
          <w:rFonts w:ascii="Arial" w:eastAsia="Times New Roman" w:hAnsi="Arial" w:cs="Arial"/>
          <w:sz w:val="24"/>
          <w:szCs w:val="24"/>
        </w:rPr>
        <w:t xml:space="preserve"> </w:t>
      </w:r>
      <w:r w:rsidR="006368FE" w:rsidRPr="00ED5F0F">
        <w:rPr>
          <w:rFonts w:ascii="Arial" w:eastAsia="Times New Roman" w:hAnsi="Arial" w:cs="Arial"/>
          <w:b/>
          <w:sz w:val="24"/>
          <w:szCs w:val="24"/>
        </w:rPr>
        <w:t>9</w:t>
      </w:r>
      <w:r w:rsidRPr="00ED5F0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ED5F0F">
        <w:rPr>
          <w:rFonts w:ascii="Arial" w:eastAsia="Times New Roman" w:hAnsi="Arial" w:cs="Arial"/>
          <w:sz w:val="24"/>
          <w:szCs w:val="24"/>
        </w:rPr>
        <w:t>Pozostałe to nieskategoryzowane sprawy</w:t>
      </w:r>
      <w:r w:rsidR="004A46B1" w:rsidRPr="00ED5F0F">
        <w:rPr>
          <w:rFonts w:ascii="Arial" w:eastAsia="Times New Roman" w:hAnsi="Arial" w:cs="Arial"/>
          <w:sz w:val="24"/>
          <w:szCs w:val="24"/>
        </w:rPr>
        <w:t xml:space="preserve">, tj. </w:t>
      </w:r>
      <w:r w:rsidR="006368FE" w:rsidRPr="00ED5F0F">
        <w:rPr>
          <w:rFonts w:ascii="Arial" w:eastAsia="Times New Roman" w:hAnsi="Arial" w:cs="Arial"/>
          <w:b/>
          <w:sz w:val="24"/>
          <w:szCs w:val="24"/>
        </w:rPr>
        <w:t>973</w:t>
      </w:r>
      <w:r w:rsidRPr="00ED5F0F">
        <w:rPr>
          <w:rFonts w:ascii="Arial" w:eastAsia="Times New Roman" w:hAnsi="Arial" w:cs="Arial"/>
          <w:sz w:val="24"/>
          <w:szCs w:val="24"/>
        </w:rPr>
        <w:t xml:space="preserve"> </w:t>
      </w:r>
      <w:r w:rsidR="004A46B1" w:rsidRPr="00ED5F0F">
        <w:rPr>
          <w:rFonts w:ascii="Arial" w:eastAsia="Times New Roman" w:hAnsi="Arial" w:cs="Arial"/>
          <w:sz w:val="24"/>
          <w:szCs w:val="24"/>
        </w:rPr>
        <w:t>wnioski.</w:t>
      </w:r>
    </w:p>
    <w:p w14:paraId="28429528" w14:textId="77777777" w:rsidR="003F1541" w:rsidRPr="00ED5F0F" w:rsidRDefault="003F1541" w:rsidP="00166448">
      <w:pPr>
        <w:autoSpaceDE w:val="0"/>
        <w:autoSpaceDN w:val="0"/>
        <w:adjustRightInd w:val="0"/>
        <w:spacing w:before="120"/>
        <w:ind w:left="567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>Usług dotyczyło</w:t>
      </w:r>
      <w:r w:rsidR="00CC0E1A" w:rsidRPr="00ED5F0F">
        <w:rPr>
          <w:rFonts w:ascii="Arial" w:eastAsia="Times New Roman" w:hAnsi="Arial" w:cs="Arial"/>
          <w:b/>
          <w:sz w:val="24"/>
          <w:szCs w:val="24"/>
        </w:rPr>
        <w:t xml:space="preserve"> 805</w:t>
      </w:r>
      <w:r w:rsidRPr="00ED5F0F">
        <w:rPr>
          <w:rFonts w:ascii="Arial" w:eastAsia="Times New Roman" w:hAnsi="Arial" w:cs="Arial"/>
          <w:sz w:val="24"/>
          <w:szCs w:val="24"/>
        </w:rPr>
        <w:t xml:space="preserve"> wniosków, w tym: remontowo-budowlanych </w:t>
      </w:r>
      <w:r w:rsidR="00CC0E1A" w:rsidRPr="00ED5F0F">
        <w:rPr>
          <w:rFonts w:ascii="Arial" w:eastAsia="Times New Roman" w:hAnsi="Arial" w:cs="Arial"/>
          <w:b/>
          <w:sz w:val="24"/>
          <w:szCs w:val="24"/>
        </w:rPr>
        <w:t>214</w:t>
      </w:r>
      <w:r w:rsidRPr="00ED5F0F">
        <w:rPr>
          <w:rFonts w:ascii="Arial" w:eastAsia="Times New Roman" w:hAnsi="Arial" w:cs="Arial"/>
          <w:sz w:val="24"/>
          <w:szCs w:val="24"/>
        </w:rPr>
        <w:t xml:space="preserve">, motoryzacyjnych </w:t>
      </w:r>
      <w:r w:rsidR="00CC0E1A" w:rsidRPr="00ED5F0F">
        <w:rPr>
          <w:rFonts w:ascii="Arial" w:eastAsia="Times New Roman" w:hAnsi="Arial" w:cs="Arial"/>
          <w:b/>
          <w:sz w:val="24"/>
          <w:szCs w:val="24"/>
        </w:rPr>
        <w:t>44</w:t>
      </w:r>
      <w:r w:rsidRPr="00ED5F0F">
        <w:rPr>
          <w:rFonts w:ascii="Arial" w:eastAsia="Times New Roman" w:hAnsi="Arial" w:cs="Arial"/>
          <w:sz w:val="24"/>
          <w:szCs w:val="24"/>
        </w:rPr>
        <w:t xml:space="preserve">, pralniczych </w:t>
      </w:r>
      <w:r w:rsidR="00CC0E1A" w:rsidRPr="00ED5F0F">
        <w:rPr>
          <w:rFonts w:ascii="Arial" w:eastAsia="Times New Roman" w:hAnsi="Arial" w:cs="Arial"/>
          <w:b/>
          <w:sz w:val="24"/>
          <w:szCs w:val="24"/>
        </w:rPr>
        <w:t>15</w:t>
      </w:r>
      <w:r w:rsidRPr="00ED5F0F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ED5F0F">
        <w:rPr>
          <w:rFonts w:ascii="Arial" w:eastAsia="Times New Roman" w:hAnsi="Arial" w:cs="Arial"/>
          <w:sz w:val="24"/>
          <w:szCs w:val="24"/>
        </w:rPr>
        <w:t xml:space="preserve">fryzjerskich i kosmetycznych </w:t>
      </w:r>
      <w:r w:rsidR="00CC0E1A" w:rsidRPr="00ED5F0F">
        <w:rPr>
          <w:rFonts w:ascii="Arial" w:eastAsia="Times New Roman" w:hAnsi="Arial" w:cs="Arial"/>
          <w:b/>
          <w:sz w:val="24"/>
          <w:szCs w:val="24"/>
        </w:rPr>
        <w:t>25</w:t>
      </w:r>
      <w:r w:rsidRPr="00ED5F0F">
        <w:rPr>
          <w:rFonts w:ascii="Arial" w:eastAsia="Times New Roman" w:hAnsi="Arial" w:cs="Arial"/>
          <w:sz w:val="24"/>
          <w:szCs w:val="24"/>
        </w:rPr>
        <w:t xml:space="preserve">, gastronomicznych </w:t>
      </w:r>
      <w:r w:rsidR="00CC0E1A" w:rsidRPr="00ED5F0F">
        <w:rPr>
          <w:rFonts w:ascii="Arial" w:eastAsia="Times New Roman" w:hAnsi="Arial" w:cs="Arial"/>
          <w:b/>
          <w:sz w:val="24"/>
          <w:szCs w:val="24"/>
        </w:rPr>
        <w:t>19</w:t>
      </w:r>
      <w:r w:rsidRPr="00ED5F0F">
        <w:rPr>
          <w:rFonts w:ascii="Arial" w:eastAsia="Times New Roman" w:hAnsi="Arial" w:cs="Arial"/>
          <w:b/>
          <w:sz w:val="24"/>
          <w:szCs w:val="24"/>
        </w:rPr>
        <w:t>,</w:t>
      </w:r>
      <w:r w:rsidRPr="00ED5F0F">
        <w:rPr>
          <w:rFonts w:ascii="Arial" w:eastAsia="Times New Roman" w:hAnsi="Arial" w:cs="Arial"/>
          <w:sz w:val="24"/>
          <w:szCs w:val="24"/>
        </w:rPr>
        <w:t xml:space="preserve"> usługi edukacyjnych </w:t>
      </w:r>
      <w:r w:rsidR="00CC0E1A" w:rsidRPr="00ED5F0F">
        <w:rPr>
          <w:rFonts w:ascii="Arial" w:eastAsia="Times New Roman" w:hAnsi="Arial" w:cs="Arial"/>
          <w:b/>
          <w:sz w:val="24"/>
          <w:szCs w:val="24"/>
        </w:rPr>
        <w:t>18</w:t>
      </w:r>
      <w:r w:rsidR="004A46B1" w:rsidRPr="00ED5F0F">
        <w:rPr>
          <w:rFonts w:ascii="Arial" w:eastAsia="Times New Roman" w:hAnsi="Arial" w:cs="Arial"/>
          <w:sz w:val="24"/>
          <w:szCs w:val="24"/>
        </w:rPr>
        <w:t>. N</w:t>
      </w:r>
      <w:r w:rsidRPr="00ED5F0F">
        <w:rPr>
          <w:rFonts w:ascii="Arial" w:eastAsia="Times New Roman" w:hAnsi="Arial" w:cs="Arial"/>
          <w:sz w:val="24"/>
          <w:szCs w:val="24"/>
        </w:rPr>
        <w:t xml:space="preserve">ieskategoryzowane sprawy to </w:t>
      </w:r>
      <w:r w:rsidR="00CC0E1A" w:rsidRPr="00ED5F0F">
        <w:rPr>
          <w:rFonts w:ascii="Arial" w:eastAsia="Times New Roman" w:hAnsi="Arial" w:cs="Arial"/>
          <w:b/>
          <w:sz w:val="24"/>
          <w:szCs w:val="24"/>
        </w:rPr>
        <w:t>470</w:t>
      </w:r>
      <w:r w:rsidRPr="00ED5F0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90FA86E" w14:textId="77777777" w:rsidR="003F1541" w:rsidRPr="00ED5F0F" w:rsidRDefault="003F1541" w:rsidP="004E15E3">
      <w:pPr>
        <w:pStyle w:val="Nagwek2"/>
        <w:numPr>
          <w:ilvl w:val="0"/>
          <w:numId w:val="4"/>
        </w:numPr>
        <w:spacing w:before="120" w:after="120"/>
        <w:ind w:left="567" w:hanging="567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ED5F0F">
        <w:rPr>
          <w:rFonts w:ascii="Arial" w:eastAsia="Times New Roman" w:hAnsi="Arial" w:cs="Arial"/>
          <w:b/>
          <w:bCs/>
          <w:color w:val="auto"/>
          <w:sz w:val="24"/>
          <w:szCs w:val="24"/>
        </w:rPr>
        <w:t>Informacja o powtarzających się lub istotnych problemach, które prowadzą do sporów konsumenckich, do której mogą być dołączone zalecenia dotyczące unikania lub rozwiązywania takich problemów</w:t>
      </w:r>
    </w:p>
    <w:p w14:paraId="58BD5AF4" w14:textId="77777777" w:rsidR="003F1541" w:rsidRPr="00ED5F0F" w:rsidRDefault="003F1541" w:rsidP="00166448">
      <w:pPr>
        <w:spacing w:before="120"/>
        <w:ind w:left="567"/>
        <w:jc w:val="left"/>
        <w:rPr>
          <w:rFonts w:ascii="Arial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>Z analizy danych przesyłanych przez wojewódzkie in</w:t>
      </w:r>
      <w:r w:rsidR="009749A5" w:rsidRPr="00ED5F0F">
        <w:rPr>
          <w:rFonts w:ascii="Arial" w:eastAsia="Times New Roman" w:hAnsi="Arial" w:cs="Arial"/>
          <w:sz w:val="24"/>
          <w:szCs w:val="24"/>
        </w:rPr>
        <w:t xml:space="preserve">spektoraty Inspekcji Handlowej </w:t>
      </w:r>
      <w:r w:rsidRPr="00ED5F0F">
        <w:rPr>
          <w:rFonts w:ascii="Arial" w:eastAsia="Times New Roman" w:hAnsi="Arial" w:cs="Arial"/>
          <w:sz w:val="24"/>
          <w:szCs w:val="24"/>
        </w:rPr>
        <w:t xml:space="preserve">wynika, że spory w znacznej części dotyczą </w:t>
      </w:r>
      <w:r w:rsidRPr="00ED5F0F">
        <w:rPr>
          <w:rFonts w:ascii="Arial" w:hAnsi="Arial" w:cs="Arial"/>
          <w:sz w:val="24"/>
          <w:szCs w:val="24"/>
        </w:rPr>
        <w:t>problemów z realizacją ustawo</w:t>
      </w:r>
      <w:r w:rsidR="009749A5" w:rsidRPr="00ED5F0F">
        <w:rPr>
          <w:rFonts w:ascii="Arial" w:hAnsi="Arial" w:cs="Arial"/>
          <w:sz w:val="24"/>
          <w:szCs w:val="24"/>
        </w:rPr>
        <w:t>wego prawa odstąpienia od umowy</w:t>
      </w:r>
      <w:r w:rsidR="009749A5" w:rsidRPr="00ED5F0F">
        <w:rPr>
          <w:rFonts w:ascii="Arial" w:eastAsia="Times New Roman" w:hAnsi="Arial" w:cs="Arial"/>
          <w:sz w:val="24"/>
          <w:szCs w:val="24"/>
          <w:lang w:eastAsia="pl-PL"/>
        </w:rPr>
        <w:t>, umów zawartych pod wpływem błędu podstępnie wywołanego przez druga stronę</w:t>
      </w:r>
      <w:r w:rsidR="009749A5" w:rsidRPr="00ED5F0F">
        <w:rPr>
          <w:rFonts w:ascii="Arial" w:hAnsi="Arial" w:cs="Arial"/>
          <w:sz w:val="24"/>
          <w:szCs w:val="24"/>
        </w:rPr>
        <w:t xml:space="preserve">, </w:t>
      </w:r>
      <w:r w:rsidRPr="00ED5F0F">
        <w:rPr>
          <w:rFonts w:ascii="Arial" w:hAnsi="Arial" w:cs="Arial"/>
          <w:sz w:val="24"/>
          <w:szCs w:val="24"/>
        </w:rPr>
        <w:t xml:space="preserve">nienależytym wykonaniem umów o dzieło albo wykonaniem innych usług, niezgodnością towaru z umową, </w:t>
      </w:r>
      <w:r w:rsidRPr="00ED5F0F">
        <w:rPr>
          <w:rFonts w:ascii="Arial" w:eastAsia="Times New Roman" w:hAnsi="Arial" w:cs="Arial"/>
          <w:sz w:val="24"/>
          <w:szCs w:val="24"/>
        </w:rPr>
        <w:t xml:space="preserve">różnicą w ocenie merytorycznej zasadności decyzji przedsiębiorców o </w:t>
      </w:r>
      <w:r w:rsidRPr="00ED5F0F">
        <w:rPr>
          <w:rFonts w:ascii="Arial" w:eastAsia="Times New Roman" w:hAnsi="Arial" w:cs="Arial"/>
          <w:sz w:val="24"/>
          <w:szCs w:val="24"/>
        </w:rPr>
        <w:lastRenderedPageBreak/>
        <w:t xml:space="preserve">oddaleniu reklamacji lub odmowy uwzględnienia konkretnego roszczenia konsumenta (w znacznej części przypadków do sporu dochodziło z powodu nieuznanej lub niewłaściwie rozpatrzonej reklamacji). Część problemów wynikało z niedostatecznej znajomości przepisów regulujących sprzedaż konsumencką oraz braku świadomości, że gwarancja nie jest tożsama z rękojmią. Odmowa przyjęcia reklamacji, nieterminowe jej rozpatrzenie, bądź zbyt długie oczekiwanie na realizację uzgodnień reklamacyjnych były częstym problemem, prowadzącym do sporów na tle konsument - przedsiębiorca. </w:t>
      </w:r>
    </w:p>
    <w:p w14:paraId="7357180E" w14:textId="77777777" w:rsidR="003F1541" w:rsidRPr="00ED5F0F" w:rsidRDefault="003F1541" w:rsidP="00166448">
      <w:pPr>
        <w:spacing w:before="120"/>
        <w:ind w:left="567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>Po stronie konsumentów w dalszym ciągu występuje: wybiórcza znajomość przepisów związanych z ochroną praw konsumentów, brak pełnego zrozumienia treści zawieranych umów, zbyt wygórowane roszczenia reklamacyjne wnoszone przez konsumentów w odniesieniu do ujawnionych wad</w:t>
      </w:r>
      <w:r w:rsidR="00B85537" w:rsidRPr="00ED5F0F">
        <w:rPr>
          <w:rFonts w:ascii="Arial" w:eastAsia="Times New Roman" w:hAnsi="Arial" w:cs="Arial"/>
          <w:sz w:val="24"/>
          <w:szCs w:val="24"/>
        </w:rPr>
        <w:t xml:space="preserve"> rzeczy</w:t>
      </w:r>
      <w:r w:rsidRPr="00ED5F0F">
        <w:rPr>
          <w:rFonts w:ascii="Arial" w:eastAsia="Times New Roman" w:hAnsi="Arial" w:cs="Arial"/>
          <w:sz w:val="24"/>
          <w:szCs w:val="24"/>
        </w:rPr>
        <w:t>. Do częstych należą przypadki odmowy uznania roszczeń uzasadniane nieprzestrzeganiem zaleceń co do sposobu użytkowania i konserwacji. Zaś po stronie przedsiębiorców: świadome próby cedowania odpowiedzialności za kwestionowaną jakość towaru na producentów lub dostawców, nierzetelne i nieterminowe realizowanie przyjętych usług.</w:t>
      </w:r>
    </w:p>
    <w:p w14:paraId="6F42D3FC" w14:textId="1336CF2C" w:rsidR="003F1541" w:rsidRPr="00ED5F0F" w:rsidRDefault="003F1541" w:rsidP="00166448">
      <w:pPr>
        <w:spacing w:before="120"/>
        <w:ind w:left="567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 xml:space="preserve">Częstym przypadkiem jest </w:t>
      </w:r>
      <w:r w:rsidRPr="00ED5F0F">
        <w:rPr>
          <w:rFonts w:ascii="Arial" w:eastAsia="Times New Roman" w:hAnsi="Arial" w:cs="Arial"/>
          <w:sz w:val="24"/>
          <w:szCs w:val="24"/>
          <w:lang w:eastAsia="pl-PL"/>
        </w:rPr>
        <w:t>przeprowadzanie przez sprzedawców kolejnych napraw towaru, pomimo złożonego przez konsumenta żądania zwrotu gotówki lub brak zachowania przez sprzedawców warunku niezwłoczności dla naprawy lub wymiany towaru.</w:t>
      </w:r>
      <w:r w:rsidRPr="00ED5F0F">
        <w:rPr>
          <w:rFonts w:ascii="Arial" w:eastAsia="Times New Roman" w:hAnsi="Arial" w:cs="Arial"/>
          <w:sz w:val="24"/>
          <w:szCs w:val="24"/>
        </w:rPr>
        <w:t xml:space="preserve"> Kolejną grupą problemową są meble, reklamowane z uwagi na ujawnianie się wad jakościowych. W zakresie usług bytowych dla ludności najwi</w:t>
      </w:r>
      <w:r w:rsidR="00B85537" w:rsidRPr="00ED5F0F">
        <w:rPr>
          <w:rFonts w:ascii="Arial" w:eastAsia="Times New Roman" w:hAnsi="Arial" w:cs="Arial"/>
          <w:sz w:val="24"/>
          <w:szCs w:val="24"/>
        </w:rPr>
        <w:t>ęcej</w:t>
      </w:r>
      <w:r w:rsidR="00166448" w:rsidRPr="00ED5F0F">
        <w:rPr>
          <w:rFonts w:ascii="Arial" w:eastAsia="Times New Roman" w:hAnsi="Arial" w:cs="Arial"/>
          <w:sz w:val="24"/>
          <w:szCs w:val="24"/>
        </w:rPr>
        <w:t xml:space="preserve"> </w:t>
      </w:r>
      <w:r w:rsidR="00B85537" w:rsidRPr="00ED5F0F">
        <w:rPr>
          <w:rFonts w:ascii="Arial" w:eastAsia="Times New Roman" w:hAnsi="Arial" w:cs="Arial"/>
          <w:sz w:val="24"/>
          <w:szCs w:val="24"/>
        </w:rPr>
        <w:t>zastrzeżeń konsumentów</w:t>
      </w:r>
      <w:r w:rsidRPr="00ED5F0F">
        <w:rPr>
          <w:rFonts w:ascii="Arial" w:eastAsia="Times New Roman" w:hAnsi="Arial" w:cs="Arial"/>
          <w:sz w:val="24"/>
          <w:szCs w:val="24"/>
        </w:rPr>
        <w:t xml:space="preserve"> </w:t>
      </w:r>
      <w:r w:rsidR="00B85537" w:rsidRPr="00ED5F0F">
        <w:rPr>
          <w:rFonts w:ascii="Arial" w:eastAsia="Times New Roman" w:hAnsi="Arial" w:cs="Arial"/>
          <w:sz w:val="24"/>
          <w:szCs w:val="24"/>
        </w:rPr>
        <w:t>dotyczy wykonania</w:t>
      </w:r>
      <w:r w:rsidRPr="00ED5F0F">
        <w:rPr>
          <w:rFonts w:ascii="Arial" w:eastAsia="Times New Roman" w:hAnsi="Arial" w:cs="Arial"/>
          <w:sz w:val="24"/>
          <w:szCs w:val="24"/>
        </w:rPr>
        <w:t xml:space="preserve"> usługach remontowo-budowlanych. </w:t>
      </w:r>
    </w:p>
    <w:p w14:paraId="71CB50F9" w14:textId="77777777" w:rsidR="003F1541" w:rsidRPr="00ED5F0F" w:rsidRDefault="003F1541" w:rsidP="00166448">
      <w:pPr>
        <w:spacing w:before="120"/>
        <w:ind w:left="567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>Reasumując</w:t>
      </w:r>
      <w:r w:rsidR="004A46B1" w:rsidRPr="00ED5F0F">
        <w:rPr>
          <w:rFonts w:ascii="Arial" w:eastAsia="Times New Roman" w:hAnsi="Arial" w:cs="Arial"/>
          <w:sz w:val="24"/>
          <w:szCs w:val="24"/>
        </w:rPr>
        <w:t>,</w:t>
      </w:r>
      <w:r w:rsidRPr="00ED5F0F">
        <w:rPr>
          <w:rFonts w:ascii="Arial" w:eastAsia="Times New Roman" w:hAnsi="Arial" w:cs="Arial"/>
          <w:sz w:val="24"/>
          <w:szCs w:val="24"/>
        </w:rPr>
        <w:t xml:space="preserve"> należy stwierdzić, że głównym problemem jest nadal jakość wykonania produktów, poprzez stosowanie często tanich, zastępczych materiałów, które się nie sprawdzają w użyciu. Należy zauważyć, że te same problemy występują corocznie, od wielu lat.</w:t>
      </w:r>
    </w:p>
    <w:p w14:paraId="1FEE45FD" w14:textId="77777777" w:rsidR="00F46A62" w:rsidRPr="00ED5F0F" w:rsidRDefault="00B85537" w:rsidP="00166448">
      <w:pPr>
        <w:spacing w:before="120"/>
        <w:ind w:left="567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>Podkreślić</w:t>
      </w:r>
      <w:r w:rsidR="0078251D" w:rsidRPr="00ED5F0F">
        <w:rPr>
          <w:rFonts w:ascii="Arial" w:eastAsia="Times New Roman" w:hAnsi="Arial" w:cs="Arial"/>
          <w:sz w:val="24"/>
          <w:szCs w:val="24"/>
        </w:rPr>
        <w:t xml:space="preserve"> należy, iż sytuacja związana z epidemią </w:t>
      </w:r>
      <w:r w:rsidR="00067CEA" w:rsidRPr="00ED5F0F">
        <w:rPr>
          <w:rFonts w:ascii="Arial" w:eastAsia="Times New Roman" w:hAnsi="Arial" w:cs="Arial"/>
          <w:sz w:val="24"/>
          <w:szCs w:val="24"/>
        </w:rPr>
        <w:t xml:space="preserve">Covid-19 </w:t>
      </w:r>
      <w:r w:rsidR="0078251D" w:rsidRPr="00ED5F0F">
        <w:rPr>
          <w:rFonts w:ascii="Arial" w:eastAsia="Times New Roman" w:hAnsi="Arial" w:cs="Arial"/>
          <w:sz w:val="24"/>
          <w:szCs w:val="24"/>
        </w:rPr>
        <w:t xml:space="preserve">spowodowała znaczny spadek </w:t>
      </w:r>
      <w:r w:rsidR="004A46B1" w:rsidRPr="00ED5F0F">
        <w:rPr>
          <w:rFonts w:ascii="Arial" w:eastAsia="Times New Roman" w:hAnsi="Arial" w:cs="Arial"/>
          <w:sz w:val="24"/>
          <w:szCs w:val="24"/>
        </w:rPr>
        <w:t>liczby</w:t>
      </w:r>
      <w:r w:rsidR="0078251D" w:rsidRPr="00ED5F0F">
        <w:rPr>
          <w:rFonts w:ascii="Arial" w:eastAsia="Times New Roman" w:hAnsi="Arial" w:cs="Arial"/>
          <w:sz w:val="24"/>
          <w:szCs w:val="24"/>
        </w:rPr>
        <w:t xml:space="preserve"> wniosków ADR składanych przez konsumentów. Wiązało się to w szczególności z zakazem i ograniczeniami prowadzenia działalności przez istotną część sektorów gospodarki. Spory z przedsiębiorcami </w:t>
      </w:r>
      <w:r w:rsidR="0078251D" w:rsidRPr="00ED5F0F">
        <w:rPr>
          <w:rFonts w:ascii="Arial" w:eastAsia="Times New Roman" w:hAnsi="Arial" w:cs="Arial"/>
          <w:sz w:val="24"/>
          <w:szCs w:val="24"/>
        </w:rPr>
        <w:lastRenderedPageBreak/>
        <w:t>prowadzącymi sprzedaż</w:t>
      </w:r>
      <w:r w:rsidR="006866C1" w:rsidRPr="00ED5F0F">
        <w:rPr>
          <w:rFonts w:ascii="Arial" w:eastAsia="Times New Roman" w:hAnsi="Arial" w:cs="Arial"/>
          <w:sz w:val="24"/>
          <w:szCs w:val="24"/>
        </w:rPr>
        <w:br/>
      </w:r>
      <w:r w:rsidR="0078251D" w:rsidRPr="00ED5F0F">
        <w:rPr>
          <w:rFonts w:ascii="Arial" w:eastAsia="Times New Roman" w:hAnsi="Arial" w:cs="Arial"/>
          <w:sz w:val="24"/>
          <w:szCs w:val="24"/>
        </w:rPr>
        <w:t xml:space="preserve">w galeriach handlowych oraz sklepach wielkopowierzchniowych były powodem większości składanych wniosków ADR. </w:t>
      </w:r>
    </w:p>
    <w:p w14:paraId="7689D55B" w14:textId="4D0075BE" w:rsidR="003F1541" w:rsidRPr="00ED5F0F" w:rsidRDefault="003F1541" w:rsidP="004E15E3">
      <w:pPr>
        <w:pStyle w:val="Nagwek2"/>
        <w:numPr>
          <w:ilvl w:val="0"/>
          <w:numId w:val="4"/>
        </w:numPr>
        <w:spacing w:before="120" w:after="120"/>
        <w:ind w:left="567" w:hanging="567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ED5F0F">
        <w:rPr>
          <w:rFonts w:ascii="Arial" w:eastAsia="Times New Roman" w:hAnsi="Arial" w:cs="Arial"/>
          <w:b/>
          <w:bCs/>
          <w:color w:val="auto"/>
          <w:sz w:val="24"/>
          <w:szCs w:val="24"/>
        </w:rPr>
        <w:t>Informacja o sporach, których rozpatrzenia podmiot uprawniony odmówił, w stosunku do liczby złożonych wniosków o wszczęcie postępowania w sprawie pozasądowego rozwiązywania sporów konsumenckich</w:t>
      </w:r>
    </w:p>
    <w:p w14:paraId="20CB089C" w14:textId="77777777" w:rsidR="003F1541" w:rsidRPr="00ED5F0F" w:rsidRDefault="003F1541" w:rsidP="00166448">
      <w:pPr>
        <w:autoSpaceDE w:val="0"/>
        <w:autoSpaceDN w:val="0"/>
        <w:adjustRightInd w:val="0"/>
        <w:spacing w:before="120"/>
        <w:ind w:left="567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 xml:space="preserve">W przypadku, gdy wnioskodawcą był konsument na </w:t>
      </w:r>
      <w:r w:rsidR="00B4084C" w:rsidRPr="00ED5F0F">
        <w:rPr>
          <w:rFonts w:ascii="Arial" w:eastAsia="Times New Roman" w:hAnsi="Arial" w:cs="Arial"/>
          <w:b/>
          <w:sz w:val="24"/>
          <w:szCs w:val="24"/>
        </w:rPr>
        <w:t>4194</w:t>
      </w:r>
      <w:r w:rsidRPr="00ED5F0F">
        <w:rPr>
          <w:rFonts w:ascii="Arial" w:eastAsia="Times New Roman" w:hAnsi="Arial" w:cs="Arial"/>
          <w:sz w:val="24"/>
          <w:szCs w:val="24"/>
        </w:rPr>
        <w:t xml:space="preserve"> wniosków podmiot odmówił zajęcia się sprawą </w:t>
      </w:r>
      <w:r w:rsidR="00B4084C" w:rsidRPr="00ED5F0F">
        <w:rPr>
          <w:rFonts w:ascii="Arial" w:eastAsia="Times New Roman" w:hAnsi="Arial" w:cs="Arial"/>
          <w:b/>
          <w:sz w:val="24"/>
          <w:szCs w:val="24"/>
        </w:rPr>
        <w:t>88</w:t>
      </w:r>
      <w:r w:rsidRPr="00ED5F0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4084C" w:rsidRPr="00ED5F0F">
        <w:rPr>
          <w:rFonts w:ascii="Arial" w:eastAsia="Times New Roman" w:hAnsi="Arial" w:cs="Arial"/>
          <w:sz w:val="24"/>
          <w:szCs w:val="24"/>
        </w:rPr>
        <w:t>razy, tj. w przypadku 2,09</w:t>
      </w:r>
      <w:r w:rsidRPr="00ED5F0F">
        <w:rPr>
          <w:rFonts w:ascii="Arial" w:eastAsia="Times New Roman" w:hAnsi="Arial" w:cs="Arial"/>
          <w:sz w:val="24"/>
          <w:szCs w:val="24"/>
        </w:rPr>
        <w:t xml:space="preserve"> proc</w:t>
      </w:r>
      <w:r w:rsidR="004D58E3" w:rsidRPr="00ED5F0F">
        <w:rPr>
          <w:rFonts w:ascii="Arial" w:eastAsia="Times New Roman" w:hAnsi="Arial" w:cs="Arial"/>
          <w:sz w:val="24"/>
          <w:szCs w:val="24"/>
        </w:rPr>
        <w:t>.</w:t>
      </w:r>
      <w:r w:rsidRPr="00ED5F0F">
        <w:rPr>
          <w:rFonts w:ascii="Arial" w:eastAsia="Times New Roman" w:hAnsi="Arial" w:cs="Arial"/>
          <w:sz w:val="24"/>
          <w:szCs w:val="24"/>
        </w:rPr>
        <w:t xml:space="preserve"> spraw. Szczegółowo sytuacja kształtowała się następująco:</w:t>
      </w:r>
    </w:p>
    <w:p w14:paraId="28160896" w14:textId="77777777" w:rsidR="003F1541" w:rsidRPr="00ED5F0F" w:rsidRDefault="003F1541" w:rsidP="00166448">
      <w:pPr>
        <w:numPr>
          <w:ilvl w:val="0"/>
          <w:numId w:val="2"/>
        </w:numPr>
        <w:spacing w:before="120"/>
        <w:ind w:left="1134" w:hanging="425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 xml:space="preserve">przedmiot sporu wykraczał poza kategorię sporów objętych właściwością Inspekcji Handlowej - </w:t>
      </w:r>
      <w:r w:rsidR="00B4084C" w:rsidRPr="00ED5F0F">
        <w:rPr>
          <w:rFonts w:ascii="Arial" w:eastAsia="Times New Roman" w:hAnsi="Arial" w:cs="Arial"/>
          <w:b/>
          <w:sz w:val="24"/>
          <w:szCs w:val="24"/>
        </w:rPr>
        <w:t>69</w:t>
      </w:r>
      <w:r w:rsidRPr="00ED5F0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D5F0F">
        <w:rPr>
          <w:rFonts w:ascii="Arial" w:eastAsia="Times New Roman" w:hAnsi="Arial" w:cs="Arial"/>
          <w:sz w:val="24"/>
          <w:szCs w:val="24"/>
        </w:rPr>
        <w:t>spraw,</w:t>
      </w:r>
    </w:p>
    <w:p w14:paraId="70543A01" w14:textId="77777777" w:rsidR="003F1541" w:rsidRPr="00ED5F0F" w:rsidRDefault="003F1541" w:rsidP="00166448">
      <w:pPr>
        <w:numPr>
          <w:ilvl w:val="0"/>
          <w:numId w:val="2"/>
        </w:numPr>
        <w:spacing w:before="120"/>
        <w:ind w:left="1134" w:hanging="425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>wnioskodawca nie podjął</w:t>
      </w:r>
      <w:r w:rsidR="004D58E3" w:rsidRPr="00ED5F0F">
        <w:rPr>
          <w:rFonts w:ascii="Arial" w:eastAsia="Times New Roman" w:hAnsi="Arial" w:cs="Arial"/>
          <w:sz w:val="24"/>
          <w:szCs w:val="24"/>
        </w:rPr>
        <w:t>,</w:t>
      </w:r>
      <w:r w:rsidRPr="00ED5F0F">
        <w:rPr>
          <w:rFonts w:ascii="Arial" w:eastAsia="Times New Roman" w:hAnsi="Arial" w:cs="Arial"/>
          <w:sz w:val="24"/>
          <w:szCs w:val="24"/>
        </w:rPr>
        <w:t xml:space="preserve"> przed złożeniem wniosku o wszczęcie postępowania w sprawie pozasądowego rozwiązywania sporów konsumenckich</w:t>
      </w:r>
      <w:r w:rsidR="004D58E3" w:rsidRPr="00ED5F0F">
        <w:rPr>
          <w:rFonts w:ascii="Arial" w:eastAsia="Times New Roman" w:hAnsi="Arial" w:cs="Arial"/>
          <w:sz w:val="24"/>
          <w:szCs w:val="24"/>
        </w:rPr>
        <w:t>,</w:t>
      </w:r>
      <w:r w:rsidRPr="00ED5F0F">
        <w:rPr>
          <w:rFonts w:ascii="Arial" w:eastAsia="Times New Roman" w:hAnsi="Arial" w:cs="Arial"/>
          <w:sz w:val="24"/>
          <w:szCs w:val="24"/>
        </w:rPr>
        <w:t xml:space="preserve"> próby kontaktu z drugą stroną i bezpośredniego rozwiązania sporu - </w:t>
      </w:r>
      <w:r w:rsidR="00B4084C" w:rsidRPr="00ED5F0F">
        <w:rPr>
          <w:rFonts w:ascii="Arial" w:eastAsia="Times New Roman" w:hAnsi="Arial" w:cs="Arial"/>
          <w:b/>
          <w:sz w:val="24"/>
          <w:szCs w:val="24"/>
        </w:rPr>
        <w:t>1</w:t>
      </w:r>
      <w:r w:rsidRPr="00ED5F0F">
        <w:rPr>
          <w:rFonts w:ascii="Arial" w:eastAsia="Times New Roman" w:hAnsi="Arial" w:cs="Arial"/>
          <w:sz w:val="24"/>
          <w:szCs w:val="24"/>
        </w:rPr>
        <w:t xml:space="preserve"> spraw</w:t>
      </w:r>
      <w:r w:rsidR="00B85537" w:rsidRPr="00ED5F0F">
        <w:rPr>
          <w:rFonts w:ascii="Arial" w:eastAsia="Times New Roman" w:hAnsi="Arial" w:cs="Arial"/>
          <w:sz w:val="24"/>
          <w:szCs w:val="24"/>
        </w:rPr>
        <w:t>a</w:t>
      </w:r>
      <w:r w:rsidRPr="00ED5F0F">
        <w:rPr>
          <w:rFonts w:ascii="Arial" w:eastAsia="Times New Roman" w:hAnsi="Arial" w:cs="Arial"/>
          <w:sz w:val="24"/>
          <w:szCs w:val="24"/>
        </w:rPr>
        <w:t>,</w:t>
      </w:r>
    </w:p>
    <w:p w14:paraId="6A423E8F" w14:textId="77777777" w:rsidR="003F1541" w:rsidRPr="00ED5F0F" w:rsidRDefault="003F1541" w:rsidP="00166448">
      <w:pPr>
        <w:numPr>
          <w:ilvl w:val="0"/>
          <w:numId w:val="2"/>
        </w:numPr>
        <w:spacing w:before="120"/>
        <w:ind w:left="1134" w:hanging="425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 xml:space="preserve">spór jest błahy lub wniosek o wszczęcie postępowania w sprawie pozasądowego rozwiązywania sporów konsumenckich spowoduje uciążliwości dla drugiej strony - </w:t>
      </w:r>
      <w:r w:rsidR="00B4084C" w:rsidRPr="00ED5F0F">
        <w:rPr>
          <w:rFonts w:ascii="Arial" w:eastAsia="Times New Roman" w:hAnsi="Arial" w:cs="Arial"/>
          <w:b/>
          <w:sz w:val="24"/>
          <w:szCs w:val="24"/>
        </w:rPr>
        <w:t>8</w:t>
      </w:r>
      <w:r w:rsidRPr="00ED5F0F">
        <w:rPr>
          <w:rFonts w:ascii="Arial" w:eastAsia="Times New Roman" w:hAnsi="Arial" w:cs="Arial"/>
          <w:sz w:val="24"/>
          <w:szCs w:val="24"/>
        </w:rPr>
        <w:t xml:space="preserve"> spraw,</w:t>
      </w:r>
    </w:p>
    <w:p w14:paraId="0A66DA14" w14:textId="77777777" w:rsidR="003F1541" w:rsidRPr="00ED5F0F" w:rsidRDefault="003F1541" w:rsidP="00166448">
      <w:pPr>
        <w:numPr>
          <w:ilvl w:val="0"/>
          <w:numId w:val="2"/>
        </w:numPr>
        <w:spacing w:before="120"/>
        <w:ind w:left="1134" w:hanging="425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 xml:space="preserve">sprawa o to samo roszczenie między tymi samymi stronami jest w toku albo została już rozpatrzona przez Inspekcję, stały sąd polubowny, inny właściwy podmiot albo sąd - </w:t>
      </w:r>
      <w:r w:rsidR="00B4084C" w:rsidRPr="00ED5F0F">
        <w:rPr>
          <w:rFonts w:ascii="Arial" w:eastAsia="Times New Roman" w:hAnsi="Arial" w:cs="Arial"/>
          <w:b/>
          <w:sz w:val="24"/>
          <w:szCs w:val="24"/>
        </w:rPr>
        <w:t>6</w:t>
      </w:r>
      <w:r w:rsidRPr="00ED5F0F">
        <w:rPr>
          <w:rFonts w:ascii="Arial" w:eastAsia="Times New Roman" w:hAnsi="Arial" w:cs="Arial"/>
          <w:sz w:val="24"/>
          <w:szCs w:val="24"/>
        </w:rPr>
        <w:t xml:space="preserve"> spraw,</w:t>
      </w:r>
    </w:p>
    <w:p w14:paraId="26C8FAD9" w14:textId="77777777" w:rsidR="003F1541" w:rsidRPr="00ED5F0F" w:rsidRDefault="003F1541" w:rsidP="00166448">
      <w:pPr>
        <w:numPr>
          <w:ilvl w:val="0"/>
          <w:numId w:val="2"/>
        </w:numPr>
        <w:spacing w:before="120"/>
        <w:ind w:left="1134" w:hanging="425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 xml:space="preserve">wnioskodawca złożył wniosek o wszczęcie postępowania po upływie roku od dnia, w którym podjął próbę kontaktu z drugą stroną i bezpośredniego rozwiązania sporu - </w:t>
      </w:r>
      <w:r w:rsidR="00B4084C" w:rsidRPr="00ED5F0F">
        <w:rPr>
          <w:rFonts w:ascii="Arial" w:eastAsia="Times New Roman" w:hAnsi="Arial" w:cs="Arial"/>
          <w:b/>
          <w:sz w:val="24"/>
          <w:szCs w:val="24"/>
        </w:rPr>
        <w:t>4</w:t>
      </w:r>
      <w:r w:rsidRPr="00ED5F0F">
        <w:rPr>
          <w:rFonts w:ascii="Arial" w:eastAsia="Times New Roman" w:hAnsi="Arial" w:cs="Arial"/>
          <w:sz w:val="24"/>
          <w:szCs w:val="24"/>
        </w:rPr>
        <w:t xml:space="preserve"> spraw</w:t>
      </w:r>
      <w:r w:rsidR="00B85537" w:rsidRPr="00ED5F0F">
        <w:rPr>
          <w:rFonts w:ascii="Arial" w:eastAsia="Times New Roman" w:hAnsi="Arial" w:cs="Arial"/>
          <w:sz w:val="24"/>
          <w:szCs w:val="24"/>
        </w:rPr>
        <w:t>y</w:t>
      </w:r>
      <w:r w:rsidRPr="00ED5F0F">
        <w:rPr>
          <w:rFonts w:ascii="Arial" w:eastAsia="Times New Roman" w:hAnsi="Arial" w:cs="Arial"/>
          <w:sz w:val="24"/>
          <w:szCs w:val="24"/>
        </w:rPr>
        <w:t>.</w:t>
      </w:r>
    </w:p>
    <w:p w14:paraId="074C188C" w14:textId="4AAE5718" w:rsidR="003F1541" w:rsidRPr="00ED5F0F" w:rsidRDefault="003F1541" w:rsidP="00166448">
      <w:pPr>
        <w:autoSpaceDE w:val="0"/>
        <w:autoSpaceDN w:val="0"/>
        <w:adjustRightInd w:val="0"/>
        <w:spacing w:before="120"/>
        <w:ind w:left="567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>W przypadku, gdy wnioskodawcą był przedsiębiorca</w:t>
      </w:r>
      <w:r w:rsidR="0008195D" w:rsidRPr="00ED5F0F">
        <w:rPr>
          <w:rFonts w:ascii="Arial" w:eastAsia="Times New Roman" w:hAnsi="Arial" w:cs="Arial"/>
          <w:sz w:val="24"/>
          <w:szCs w:val="24"/>
        </w:rPr>
        <w:t xml:space="preserve"> – </w:t>
      </w:r>
      <w:r w:rsidR="004D58E3" w:rsidRPr="00ED5F0F">
        <w:rPr>
          <w:rFonts w:ascii="Arial" w:eastAsia="Times New Roman" w:hAnsi="Arial" w:cs="Arial"/>
          <w:sz w:val="24"/>
          <w:szCs w:val="24"/>
        </w:rPr>
        <w:t>w odniesieniu do</w:t>
      </w:r>
      <w:r w:rsidR="00166448" w:rsidRPr="00ED5F0F">
        <w:rPr>
          <w:rFonts w:ascii="Arial" w:eastAsia="Times New Roman" w:hAnsi="Arial" w:cs="Arial"/>
          <w:sz w:val="24"/>
          <w:szCs w:val="24"/>
        </w:rPr>
        <w:t xml:space="preserve"> </w:t>
      </w:r>
      <w:r w:rsidR="0008195D" w:rsidRPr="00ED5F0F">
        <w:rPr>
          <w:rFonts w:ascii="Arial" w:eastAsia="Times New Roman" w:hAnsi="Arial" w:cs="Arial"/>
          <w:b/>
          <w:sz w:val="24"/>
          <w:szCs w:val="24"/>
        </w:rPr>
        <w:t>9</w:t>
      </w:r>
      <w:r w:rsidR="0008195D" w:rsidRPr="00ED5F0F">
        <w:rPr>
          <w:rFonts w:ascii="Arial" w:eastAsia="Times New Roman" w:hAnsi="Arial" w:cs="Arial"/>
          <w:sz w:val="24"/>
          <w:szCs w:val="24"/>
        </w:rPr>
        <w:t xml:space="preserve"> wniosk</w:t>
      </w:r>
      <w:r w:rsidR="004D58E3" w:rsidRPr="00ED5F0F">
        <w:rPr>
          <w:rFonts w:ascii="Arial" w:eastAsia="Times New Roman" w:hAnsi="Arial" w:cs="Arial"/>
          <w:sz w:val="24"/>
          <w:szCs w:val="24"/>
        </w:rPr>
        <w:t>ów</w:t>
      </w:r>
      <w:r w:rsidRPr="00ED5F0F">
        <w:rPr>
          <w:rFonts w:ascii="Arial" w:eastAsia="Times New Roman" w:hAnsi="Arial" w:cs="Arial"/>
          <w:sz w:val="24"/>
          <w:szCs w:val="24"/>
        </w:rPr>
        <w:t xml:space="preserve"> organ odmówił zajęcia się </w:t>
      </w:r>
      <w:r w:rsidR="00B85537" w:rsidRPr="00ED5F0F">
        <w:rPr>
          <w:rFonts w:ascii="Arial" w:eastAsia="Times New Roman" w:hAnsi="Arial" w:cs="Arial"/>
          <w:sz w:val="24"/>
          <w:szCs w:val="24"/>
        </w:rPr>
        <w:t>sprawą (100</w:t>
      </w:r>
      <w:r w:rsidR="004D58E3" w:rsidRPr="00ED5F0F">
        <w:rPr>
          <w:rFonts w:ascii="Arial" w:eastAsia="Times New Roman" w:hAnsi="Arial" w:cs="Arial"/>
          <w:sz w:val="24"/>
          <w:szCs w:val="24"/>
        </w:rPr>
        <w:t xml:space="preserve"> proc.</w:t>
      </w:r>
      <w:r w:rsidR="00B85537" w:rsidRPr="00ED5F0F">
        <w:rPr>
          <w:rFonts w:ascii="Arial" w:eastAsia="Times New Roman" w:hAnsi="Arial" w:cs="Arial"/>
          <w:sz w:val="24"/>
          <w:szCs w:val="24"/>
        </w:rPr>
        <w:t>)</w:t>
      </w:r>
      <w:r w:rsidRPr="00ED5F0F">
        <w:rPr>
          <w:rFonts w:ascii="Arial" w:eastAsia="Times New Roman" w:hAnsi="Arial" w:cs="Arial"/>
          <w:sz w:val="24"/>
          <w:szCs w:val="24"/>
        </w:rPr>
        <w:t>, ponieważ przedmiot sporu wykraczał poza kategorię sporów objętych właściwością Inspekcji Handlowej.</w:t>
      </w:r>
    </w:p>
    <w:p w14:paraId="48588F21" w14:textId="59706231" w:rsidR="003F1541" w:rsidRPr="00ED5F0F" w:rsidRDefault="003F1541" w:rsidP="004E15E3">
      <w:pPr>
        <w:pStyle w:val="Nagwek2"/>
        <w:numPr>
          <w:ilvl w:val="0"/>
          <w:numId w:val="4"/>
        </w:numPr>
        <w:spacing w:before="120" w:after="120"/>
        <w:ind w:left="567" w:hanging="567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ED5F0F">
        <w:rPr>
          <w:rFonts w:ascii="Arial" w:eastAsia="Times New Roman" w:hAnsi="Arial" w:cs="Arial"/>
          <w:b/>
          <w:bCs/>
          <w:color w:val="auto"/>
          <w:sz w:val="24"/>
          <w:szCs w:val="24"/>
        </w:rPr>
        <w:lastRenderedPageBreak/>
        <w:t>Informacja o udziale postępowań w sprawie pozasądowego rozwiązywania sporów konsumenckich, które zakończono przed osiągnięciem wyniku, w stosunku do liczby wszczętych postępowań, a także powody takiego zakończenia, o ile są znane</w:t>
      </w:r>
    </w:p>
    <w:p w14:paraId="0877ADAC" w14:textId="77777777" w:rsidR="003F1541" w:rsidRPr="00ED5F0F" w:rsidRDefault="003F1541" w:rsidP="00166448">
      <w:pPr>
        <w:autoSpaceDE w:val="0"/>
        <w:autoSpaceDN w:val="0"/>
        <w:adjustRightInd w:val="0"/>
        <w:spacing w:before="120"/>
        <w:ind w:left="567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>W przypadku</w:t>
      </w:r>
      <w:r w:rsidRPr="00ED5F0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63FD1" w:rsidRPr="00ED5F0F">
        <w:rPr>
          <w:rFonts w:ascii="Arial" w:eastAsia="Times New Roman" w:hAnsi="Arial" w:cs="Arial"/>
          <w:b/>
          <w:sz w:val="24"/>
          <w:szCs w:val="24"/>
        </w:rPr>
        <w:t>872</w:t>
      </w:r>
      <w:r w:rsidRPr="00ED5F0F">
        <w:rPr>
          <w:rFonts w:ascii="Arial" w:eastAsia="Times New Roman" w:hAnsi="Arial" w:cs="Arial"/>
          <w:sz w:val="24"/>
          <w:szCs w:val="24"/>
        </w:rPr>
        <w:t xml:space="preserve"> spraw</w:t>
      </w:r>
      <w:r w:rsidRPr="00ED5F0F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  <w:r w:rsidRPr="00ED5F0F">
        <w:rPr>
          <w:rFonts w:ascii="Arial" w:eastAsia="Times New Roman" w:hAnsi="Arial" w:cs="Arial"/>
          <w:sz w:val="24"/>
          <w:szCs w:val="24"/>
        </w:rPr>
        <w:t xml:space="preserve"> </w:t>
      </w:r>
      <w:r w:rsidR="00323251" w:rsidRPr="00ED5F0F">
        <w:rPr>
          <w:rFonts w:ascii="Arial" w:eastAsia="Times New Roman" w:hAnsi="Arial" w:cs="Arial"/>
          <w:sz w:val="24"/>
          <w:szCs w:val="24"/>
        </w:rPr>
        <w:t>w</w:t>
      </w:r>
      <w:r w:rsidRPr="00ED5F0F">
        <w:rPr>
          <w:rFonts w:ascii="Arial" w:eastAsia="Times New Roman" w:hAnsi="Arial" w:cs="Arial"/>
          <w:sz w:val="24"/>
          <w:szCs w:val="24"/>
        </w:rPr>
        <w:t xml:space="preserve">ojewódzkie </w:t>
      </w:r>
      <w:r w:rsidR="00323251" w:rsidRPr="00ED5F0F">
        <w:rPr>
          <w:rFonts w:ascii="Arial" w:eastAsia="Times New Roman" w:hAnsi="Arial" w:cs="Arial"/>
          <w:sz w:val="24"/>
          <w:szCs w:val="24"/>
        </w:rPr>
        <w:t>i</w:t>
      </w:r>
      <w:r w:rsidRPr="00ED5F0F">
        <w:rPr>
          <w:rFonts w:ascii="Arial" w:eastAsia="Times New Roman" w:hAnsi="Arial" w:cs="Arial"/>
          <w:sz w:val="24"/>
          <w:szCs w:val="24"/>
        </w:rPr>
        <w:t>nspektoraty Inspekcji Handlowej zakończyły postępowania przed osiągnięciem wyniku, w tym:</w:t>
      </w:r>
    </w:p>
    <w:p w14:paraId="724E5A4D" w14:textId="77777777" w:rsidR="003F1541" w:rsidRPr="00ED5F0F" w:rsidRDefault="003F1541" w:rsidP="0016644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993" w:hanging="284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 xml:space="preserve">sprawy przekazane zgodnie z właściwością do innego WIIH – </w:t>
      </w:r>
      <w:r w:rsidR="00A63FD1" w:rsidRPr="00ED5F0F">
        <w:rPr>
          <w:rFonts w:ascii="Arial" w:eastAsia="Times New Roman" w:hAnsi="Arial" w:cs="Arial"/>
          <w:b/>
          <w:sz w:val="24"/>
          <w:szCs w:val="24"/>
        </w:rPr>
        <w:t xml:space="preserve">345 </w:t>
      </w:r>
      <w:r w:rsidRPr="00ED5F0F">
        <w:rPr>
          <w:rFonts w:ascii="Arial" w:eastAsia="Times New Roman" w:hAnsi="Arial" w:cs="Arial"/>
          <w:sz w:val="24"/>
          <w:szCs w:val="24"/>
        </w:rPr>
        <w:t>spraw,</w:t>
      </w:r>
    </w:p>
    <w:p w14:paraId="42EB2C5E" w14:textId="77777777" w:rsidR="003F1541" w:rsidRPr="00ED5F0F" w:rsidRDefault="003F1541" w:rsidP="0016644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993" w:hanging="284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>wnioski</w:t>
      </w:r>
      <w:r w:rsidR="00AA413E" w:rsidRPr="00ED5F0F">
        <w:rPr>
          <w:rFonts w:ascii="Arial" w:eastAsia="Times New Roman" w:hAnsi="Arial" w:cs="Arial"/>
          <w:sz w:val="24"/>
          <w:szCs w:val="24"/>
        </w:rPr>
        <w:t>,</w:t>
      </w:r>
      <w:r w:rsidRPr="00ED5F0F">
        <w:rPr>
          <w:rFonts w:ascii="Arial" w:eastAsia="Times New Roman" w:hAnsi="Arial" w:cs="Arial"/>
          <w:sz w:val="24"/>
          <w:szCs w:val="24"/>
        </w:rPr>
        <w:t xml:space="preserve"> w których druga strona sporu odmówiła wzięcia udziału w postępowaniu (wnioski składane zarówno przez konsumentów jak i przedsiębiorców)</w:t>
      </w:r>
      <w:r w:rsidR="006866C1" w:rsidRPr="00ED5F0F">
        <w:rPr>
          <w:rFonts w:ascii="Arial" w:eastAsia="Times New Roman" w:hAnsi="Arial" w:cs="Arial"/>
          <w:sz w:val="24"/>
          <w:szCs w:val="24"/>
        </w:rPr>
        <w:br/>
      </w:r>
      <w:r w:rsidRPr="00ED5F0F">
        <w:rPr>
          <w:rFonts w:ascii="Arial" w:eastAsia="Times New Roman" w:hAnsi="Arial" w:cs="Arial"/>
          <w:sz w:val="24"/>
          <w:szCs w:val="24"/>
        </w:rPr>
        <w:t xml:space="preserve">- </w:t>
      </w:r>
      <w:r w:rsidR="00A63FD1" w:rsidRPr="00ED5F0F">
        <w:rPr>
          <w:rFonts w:ascii="Arial" w:eastAsia="Times New Roman" w:hAnsi="Arial" w:cs="Arial"/>
          <w:b/>
          <w:sz w:val="24"/>
          <w:szCs w:val="24"/>
        </w:rPr>
        <w:t>400</w:t>
      </w:r>
      <w:r w:rsidRPr="00ED5F0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D5F0F">
        <w:rPr>
          <w:rFonts w:ascii="Arial" w:eastAsia="Times New Roman" w:hAnsi="Arial" w:cs="Arial"/>
          <w:sz w:val="24"/>
          <w:szCs w:val="24"/>
        </w:rPr>
        <w:t>przypadków,</w:t>
      </w:r>
    </w:p>
    <w:p w14:paraId="5311D74E" w14:textId="77777777" w:rsidR="003F1541" w:rsidRPr="00ED5F0F" w:rsidRDefault="003F1541" w:rsidP="0016644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993" w:hanging="284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>sprawy, gdy konsument nie zgodził się na propozycję przedsiębiorcy</w:t>
      </w:r>
      <w:r w:rsidR="006866C1" w:rsidRPr="00ED5F0F">
        <w:rPr>
          <w:rFonts w:ascii="Arial" w:eastAsia="Times New Roman" w:hAnsi="Arial" w:cs="Arial"/>
          <w:sz w:val="24"/>
          <w:szCs w:val="24"/>
        </w:rPr>
        <w:br/>
      </w:r>
      <w:r w:rsidRPr="00ED5F0F">
        <w:rPr>
          <w:rFonts w:ascii="Arial" w:eastAsia="Times New Roman" w:hAnsi="Arial" w:cs="Arial"/>
          <w:sz w:val="24"/>
          <w:szCs w:val="24"/>
        </w:rPr>
        <w:t xml:space="preserve">– </w:t>
      </w:r>
      <w:r w:rsidR="00A63FD1" w:rsidRPr="00ED5F0F">
        <w:rPr>
          <w:rFonts w:ascii="Arial" w:eastAsia="Times New Roman" w:hAnsi="Arial" w:cs="Arial"/>
          <w:b/>
          <w:sz w:val="24"/>
          <w:szCs w:val="24"/>
        </w:rPr>
        <w:t>67</w:t>
      </w:r>
      <w:r w:rsidRPr="00ED5F0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D5F0F">
        <w:rPr>
          <w:rFonts w:ascii="Arial" w:eastAsia="Times New Roman" w:hAnsi="Arial" w:cs="Arial"/>
          <w:sz w:val="24"/>
          <w:szCs w:val="24"/>
        </w:rPr>
        <w:t>przypadków,</w:t>
      </w:r>
    </w:p>
    <w:p w14:paraId="6E7DBE46" w14:textId="77777777" w:rsidR="003F1541" w:rsidRPr="00ED5F0F" w:rsidRDefault="003F1541" w:rsidP="00166448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993" w:hanging="284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 xml:space="preserve">sprawy przekazane innym organom, ze względu na brak właściwości rzeczowej - </w:t>
      </w:r>
      <w:r w:rsidR="00A63FD1" w:rsidRPr="00ED5F0F">
        <w:rPr>
          <w:rFonts w:ascii="Arial" w:eastAsia="Times New Roman" w:hAnsi="Arial" w:cs="Arial"/>
          <w:b/>
          <w:sz w:val="24"/>
          <w:szCs w:val="24"/>
        </w:rPr>
        <w:t>20</w:t>
      </w:r>
      <w:r w:rsidRPr="00ED5F0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D5F0F">
        <w:rPr>
          <w:rFonts w:ascii="Arial" w:eastAsia="Times New Roman" w:hAnsi="Arial" w:cs="Arial"/>
          <w:sz w:val="24"/>
          <w:szCs w:val="24"/>
        </w:rPr>
        <w:t>spraw.</w:t>
      </w:r>
    </w:p>
    <w:p w14:paraId="452507A7" w14:textId="77777777" w:rsidR="003F1541" w:rsidRPr="00ED5F0F" w:rsidRDefault="003F1541" w:rsidP="004E15E3">
      <w:pPr>
        <w:pStyle w:val="Nagwek2"/>
        <w:numPr>
          <w:ilvl w:val="0"/>
          <w:numId w:val="4"/>
        </w:numPr>
        <w:spacing w:before="120" w:after="120"/>
        <w:ind w:left="567" w:hanging="567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ED5F0F">
        <w:rPr>
          <w:rFonts w:ascii="Arial" w:eastAsia="Times New Roman" w:hAnsi="Arial" w:cs="Arial"/>
          <w:b/>
          <w:bCs/>
          <w:color w:val="auto"/>
          <w:sz w:val="24"/>
          <w:szCs w:val="24"/>
        </w:rPr>
        <w:t>Informacje w przedmiocie średniego czasu trwania postępowania</w:t>
      </w:r>
    </w:p>
    <w:p w14:paraId="38A37147" w14:textId="77777777" w:rsidR="003F1541" w:rsidRPr="00ED5F0F" w:rsidRDefault="003F1541" w:rsidP="00166448">
      <w:pPr>
        <w:autoSpaceDE w:val="0"/>
        <w:autoSpaceDN w:val="0"/>
        <w:adjustRightInd w:val="0"/>
        <w:spacing w:before="120"/>
        <w:ind w:left="567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 xml:space="preserve">Średni czas postępowania w sprawie polubownego rozpatrywania sporów konsumenckich wynosił </w:t>
      </w:r>
      <w:r w:rsidR="00F8764C" w:rsidRPr="00ED5F0F">
        <w:rPr>
          <w:rFonts w:ascii="Arial" w:eastAsia="Times New Roman" w:hAnsi="Arial" w:cs="Arial"/>
          <w:b/>
          <w:sz w:val="24"/>
          <w:szCs w:val="24"/>
        </w:rPr>
        <w:t>32,5</w:t>
      </w:r>
      <w:r w:rsidRPr="00ED5F0F">
        <w:rPr>
          <w:rFonts w:ascii="Arial" w:eastAsia="Times New Roman" w:hAnsi="Arial" w:cs="Arial"/>
          <w:sz w:val="24"/>
          <w:szCs w:val="24"/>
        </w:rPr>
        <w:t xml:space="preserve"> dnia. </w:t>
      </w:r>
    </w:p>
    <w:p w14:paraId="5FAEC986" w14:textId="77777777" w:rsidR="003F1541" w:rsidRPr="00ED5F0F" w:rsidRDefault="003F1541" w:rsidP="00ED5F0F">
      <w:pPr>
        <w:pStyle w:val="Nagwek2"/>
        <w:numPr>
          <w:ilvl w:val="0"/>
          <w:numId w:val="4"/>
        </w:numPr>
        <w:spacing w:before="120" w:after="120"/>
        <w:ind w:left="567" w:hanging="567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ED5F0F">
        <w:rPr>
          <w:rFonts w:ascii="Arial" w:eastAsia="Times New Roman" w:hAnsi="Arial" w:cs="Arial"/>
          <w:b/>
          <w:bCs/>
          <w:color w:val="auto"/>
          <w:sz w:val="24"/>
          <w:szCs w:val="24"/>
        </w:rPr>
        <w:t>Informacja o współpracy podmiotów w ramach sieci podmiotów prowadzących postępowania pozasądowego rozwiązywania sporów konsumenckich, ułatwiających rozwiązywanie sporów transgranicznych, jeżeli podmiot uprawniony należy do takiej sieci</w:t>
      </w:r>
    </w:p>
    <w:p w14:paraId="2180AEC2" w14:textId="6A52372F" w:rsidR="003F1541" w:rsidRPr="00ED5F0F" w:rsidRDefault="003F1541" w:rsidP="00D55A7D">
      <w:pPr>
        <w:autoSpaceDE w:val="0"/>
        <w:autoSpaceDN w:val="0"/>
        <w:adjustRightInd w:val="0"/>
        <w:spacing w:before="120"/>
        <w:ind w:left="567"/>
        <w:jc w:val="left"/>
        <w:rPr>
          <w:rFonts w:ascii="Arial" w:eastAsia="Times New Roman" w:hAnsi="Arial" w:cs="Arial"/>
          <w:sz w:val="24"/>
          <w:szCs w:val="24"/>
        </w:rPr>
      </w:pPr>
      <w:r w:rsidRPr="00ED5F0F">
        <w:rPr>
          <w:rFonts w:ascii="Arial" w:eastAsia="Times New Roman" w:hAnsi="Arial" w:cs="Arial"/>
          <w:sz w:val="24"/>
          <w:szCs w:val="24"/>
        </w:rPr>
        <w:t xml:space="preserve">Wojewódzkie </w:t>
      </w:r>
      <w:r w:rsidR="006866C1" w:rsidRPr="00ED5F0F">
        <w:rPr>
          <w:rFonts w:ascii="Arial" w:eastAsia="Times New Roman" w:hAnsi="Arial" w:cs="Arial"/>
          <w:sz w:val="24"/>
          <w:szCs w:val="24"/>
        </w:rPr>
        <w:t>i</w:t>
      </w:r>
      <w:r w:rsidRPr="00ED5F0F">
        <w:rPr>
          <w:rFonts w:ascii="Arial" w:eastAsia="Times New Roman" w:hAnsi="Arial" w:cs="Arial"/>
          <w:sz w:val="24"/>
          <w:szCs w:val="24"/>
        </w:rPr>
        <w:t xml:space="preserve">nspektoraty Inspekcji Handlowej w ramach współpracy z Europejskim Centrum Konsumenckim rozpatrzyły </w:t>
      </w:r>
      <w:r w:rsidR="00FE5114" w:rsidRPr="00ED5F0F">
        <w:rPr>
          <w:rFonts w:ascii="Arial" w:eastAsia="Times New Roman" w:hAnsi="Arial" w:cs="Arial"/>
          <w:b/>
          <w:sz w:val="24"/>
          <w:szCs w:val="24"/>
        </w:rPr>
        <w:t>29</w:t>
      </w:r>
      <w:r w:rsidRPr="00ED5F0F">
        <w:rPr>
          <w:rFonts w:ascii="Arial" w:eastAsia="Times New Roman" w:hAnsi="Arial" w:cs="Arial"/>
          <w:sz w:val="24"/>
          <w:szCs w:val="24"/>
        </w:rPr>
        <w:t xml:space="preserve"> wniosków. </w:t>
      </w:r>
      <w:r w:rsidR="00266FB7" w:rsidRPr="00ED5F0F">
        <w:rPr>
          <w:rFonts w:ascii="Arial" w:eastAsia="Times New Roman" w:hAnsi="Arial" w:cs="Arial"/>
          <w:sz w:val="24"/>
          <w:szCs w:val="24"/>
        </w:rPr>
        <w:tab/>
      </w:r>
      <w:bookmarkEnd w:id="0"/>
    </w:p>
    <w:sectPr w:rsidR="003F1541" w:rsidRPr="00ED5F0F" w:rsidSect="000D3F2D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A9A5" w14:textId="77777777" w:rsidR="00077F8C" w:rsidRDefault="00077F8C" w:rsidP="006916B9">
      <w:r>
        <w:separator/>
      </w:r>
    </w:p>
  </w:endnote>
  <w:endnote w:type="continuationSeparator" w:id="0">
    <w:p w14:paraId="1B5B3748" w14:textId="77777777" w:rsidR="00077F8C" w:rsidRDefault="00077F8C" w:rsidP="0069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ezdIdentyfikatorDokumentuPDF"/>
  <w:bookmarkEnd w:id="1"/>
  <w:p w14:paraId="51EB075E" w14:textId="77777777" w:rsidR="000D3F2D" w:rsidRDefault="000D3F2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06A77">
      <w:rPr>
        <w:noProof/>
      </w:rPr>
      <w:t>2</w:t>
    </w:r>
    <w:r>
      <w:fldChar w:fldCharType="end"/>
    </w:r>
  </w:p>
  <w:p w14:paraId="408678E4" w14:textId="77777777" w:rsidR="006916B9" w:rsidRPr="00C374A2" w:rsidRDefault="006916B9" w:rsidP="006916B9">
    <w:pPr>
      <w:pStyle w:val="Stopka"/>
      <w:tabs>
        <w:tab w:val="clear" w:pos="4536"/>
        <w:tab w:val="clear" w:pos="9072"/>
        <w:tab w:val="center" w:pos="4535"/>
      </w:tabs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0AFF" w14:textId="77777777" w:rsidR="006916B9" w:rsidRPr="00B82E25" w:rsidRDefault="006916B9" w:rsidP="006916B9">
    <w:pPr>
      <w:pStyle w:val="Stopka"/>
      <w:spacing w:line="276" w:lineRule="auto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2212" w14:textId="77777777" w:rsidR="00077F8C" w:rsidRDefault="00077F8C" w:rsidP="006916B9">
      <w:r>
        <w:separator/>
      </w:r>
    </w:p>
  </w:footnote>
  <w:footnote w:type="continuationSeparator" w:id="0">
    <w:p w14:paraId="36E856E1" w14:textId="77777777" w:rsidR="00077F8C" w:rsidRDefault="00077F8C" w:rsidP="006916B9">
      <w:r>
        <w:continuationSeparator/>
      </w:r>
    </w:p>
  </w:footnote>
  <w:footnote w:id="1">
    <w:p w14:paraId="6A85EBC3" w14:textId="77777777" w:rsidR="003F1541" w:rsidRPr="00A71F53" w:rsidRDefault="003F1541" w:rsidP="00323251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A71F53">
        <w:rPr>
          <w:rStyle w:val="Odwoanieprzypisudolnego"/>
          <w:rFonts w:ascii="Arial" w:hAnsi="Arial" w:cs="Arial"/>
          <w:sz w:val="24"/>
          <w:szCs w:val="24"/>
        </w:rPr>
        <w:footnoteRef/>
      </w:r>
      <w:r w:rsidRPr="00A71F53">
        <w:rPr>
          <w:rFonts w:ascii="Arial" w:hAnsi="Arial" w:cs="Arial"/>
          <w:sz w:val="24"/>
          <w:szCs w:val="24"/>
        </w:rPr>
        <w:t xml:space="preserve"> W tym sprawy niezałatwione z poprzedniego okresu</w:t>
      </w:r>
      <w:r w:rsidR="007C1B76" w:rsidRPr="00A71F53">
        <w:rPr>
          <w:rFonts w:ascii="Arial" w:hAnsi="Arial" w:cs="Arial"/>
          <w:sz w:val="24"/>
          <w:szCs w:val="24"/>
        </w:rPr>
        <w:t>, które nie zostały rozpisane w poniższym zestawieniu.</w:t>
      </w:r>
      <w:r w:rsidRPr="00A71F53">
        <w:rPr>
          <w:rFonts w:ascii="Arial" w:hAnsi="Arial" w:cs="Arial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5194" w14:textId="77777777" w:rsidR="006916B9" w:rsidRDefault="006916B9" w:rsidP="006916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631A"/>
    <w:multiLevelType w:val="hybridMultilevel"/>
    <w:tmpl w:val="946A18D4"/>
    <w:lvl w:ilvl="0" w:tplc="D916B9CE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220"/>
    <w:multiLevelType w:val="hybridMultilevel"/>
    <w:tmpl w:val="1FAC4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FF4780"/>
    <w:multiLevelType w:val="hybridMultilevel"/>
    <w:tmpl w:val="5E6EFEC2"/>
    <w:lvl w:ilvl="0" w:tplc="29A6091E">
      <w:start w:val="1"/>
      <w:numFmt w:val="bullet"/>
      <w:lvlText w:val="—"/>
      <w:lvlJc w:val="left"/>
      <w:pPr>
        <w:ind w:left="2421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65D1601F"/>
    <w:multiLevelType w:val="hybridMultilevel"/>
    <w:tmpl w:val="7B527312"/>
    <w:lvl w:ilvl="0" w:tplc="29A6091E">
      <w:start w:val="1"/>
      <w:numFmt w:val="bullet"/>
      <w:lvlText w:val="—"/>
      <w:lvlJc w:val="left"/>
      <w:pPr>
        <w:ind w:left="128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90161461">
    <w:abstractNumId w:val="0"/>
  </w:num>
  <w:num w:numId="2" w16cid:durableId="1743067934">
    <w:abstractNumId w:val="3"/>
  </w:num>
  <w:num w:numId="3" w16cid:durableId="2047949404">
    <w:abstractNumId w:val="2"/>
  </w:num>
  <w:num w:numId="4" w16cid:durableId="194322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D9"/>
    <w:rsid w:val="000117BF"/>
    <w:rsid w:val="00067CEA"/>
    <w:rsid w:val="00077F8C"/>
    <w:rsid w:val="0008195D"/>
    <w:rsid w:val="000D3F2D"/>
    <w:rsid w:val="00166448"/>
    <w:rsid w:val="001A2B9C"/>
    <w:rsid w:val="00206A77"/>
    <w:rsid w:val="002324D5"/>
    <w:rsid w:val="00266FB7"/>
    <w:rsid w:val="002C337E"/>
    <w:rsid w:val="002D0770"/>
    <w:rsid w:val="002F5067"/>
    <w:rsid w:val="002F5D1C"/>
    <w:rsid w:val="00323251"/>
    <w:rsid w:val="003F1541"/>
    <w:rsid w:val="004A46B1"/>
    <w:rsid w:val="004D58E3"/>
    <w:rsid w:val="004E15E3"/>
    <w:rsid w:val="006368FE"/>
    <w:rsid w:val="006866C1"/>
    <w:rsid w:val="006916B9"/>
    <w:rsid w:val="006D16A4"/>
    <w:rsid w:val="0078251D"/>
    <w:rsid w:val="007C1B76"/>
    <w:rsid w:val="007E31C5"/>
    <w:rsid w:val="00873AA5"/>
    <w:rsid w:val="00906D17"/>
    <w:rsid w:val="009749A5"/>
    <w:rsid w:val="00A63FD1"/>
    <w:rsid w:val="00A71F53"/>
    <w:rsid w:val="00AA413E"/>
    <w:rsid w:val="00B4084C"/>
    <w:rsid w:val="00B85537"/>
    <w:rsid w:val="00BC469A"/>
    <w:rsid w:val="00BD4EB5"/>
    <w:rsid w:val="00C23379"/>
    <w:rsid w:val="00CC0E1A"/>
    <w:rsid w:val="00D237A1"/>
    <w:rsid w:val="00D331DA"/>
    <w:rsid w:val="00D55A7D"/>
    <w:rsid w:val="00E120BF"/>
    <w:rsid w:val="00E51A69"/>
    <w:rsid w:val="00ED5F0F"/>
    <w:rsid w:val="00EE4BC3"/>
    <w:rsid w:val="00F46A62"/>
    <w:rsid w:val="00F8764C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1B5702"/>
  <w15:chartTrackingRefBased/>
  <w15:docId w15:val="{1ED12B3F-5EA7-4EEE-A009-66604FF4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2D9"/>
    <w:pPr>
      <w:spacing w:line="360" w:lineRule="auto"/>
      <w:jc w:val="both"/>
    </w:pPr>
    <w:rPr>
      <w:rFonts w:ascii="Trebuchet MS" w:hAnsi="Trebuchet MS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64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5A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D9"/>
  </w:style>
  <w:style w:type="paragraph" w:styleId="Stopka">
    <w:name w:val="footer"/>
    <w:basedOn w:val="Normalny"/>
    <w:link w:val="StopkaZnak"/>
    <w:uiPriority w:val="99"/>
    <w:unhideWhenUsed/>
    <w:rsid w:val="00CD22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D9"/>
  </w:style>
  <w:style w:type="table" w:styleId="Tabela-Siatka">
    <w:name w:val="Table Grid"/>
    <w:basedOn w:val="Standardowy"/>
    <w:uiPriority w:val="39"/>
    <w:rsid w:val="00CD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D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D85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541"/>
    <w:pPr>
      <w:spacing w:line="240" w:lineRule="auto"/>
      <w:jc w:val="left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F1541"/>
    <w:rPr>
      <w:rFonts w:ascii="Trebuchet MS" w:eastAsia="Times New Roman" w:hAnsi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3F154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664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5A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4E8A7D8D-1861-4D7A-9924-C56F62668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B815CB-1E72-4B17-BE69-64C77322188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Janikowski</dc:creator>
  <cp:keywords/>
  <dc:description/>
  <cp:lastModifiedBy>Marcin Ożóg</cp:lastModifiedBy>
  <cp:revision>4</cp:revision>
  <cp:lastPrinted>2018-09-11T10:44:00Z</cp:lastPrinted>
  <dcterms:created xsi:type="dcterms:W3CDTF">2022-06-21T07:38:00Z</dcterms:created>
  <dcterms:modified xsi:type="dcterms:W3CDTF">2022-06-21T07:39:00Z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ad69b245-6c3d-41a2-b4e2-81400d1fc0c3</vt:lpwstr>
  </property>
  <property fmtid="{D5CDD505-2E9C-101B-9397-08002B2CF9AE}" pid="3" name="bjSaver">
    <vt:lpwstr>WPA4k/huRn75DFo9mYC3FEf1aTil13pc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