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C884A" w14:textId="33517401" w:rsidR="00A6410C" w:rsidRPr="00A6410C" w:rsidRDefault="00683989" w:rsidP="00A6410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DZIAŁALNOŚĆ UOKIK W 202</w:t>
      </w:r>
      <w:r w:rsidR="00DF15A9">
        <w:rPr>
          <w:sz w:val="32"/>
          <w:szCs w:val="32"/>
        </w:rPr>
        <w:t>1</w:t>
      </w:r>
      <w:r>
        <w:rPr>
          <w:sz w:val="32"/>
          <w:szCs w:val="32"/>
        </w:rPr>
        <w:t xml:space="preserve"> ROKU</w:t>
      </w:r>
    </w:p>
    <w:p w14:paraId="38FE0097" w14:textId="121BEA3B" w:rsidR="00C2398C" w:rsidRDefault="000D1C60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0D1C60">
        <w:rPr>
          <w:rFonts w:cs="Tahoma"/>
          <w:b/>
          <w:bCs/>
          <w:sz w:val="22"/>
          <w:lang w:eastAsia="en-GB"/>
        </w:rPr>
        <w:t>988</w:t>
      </w:r>
      <w:r w:rsidR="00FF1EBC" w:rsidRPr="000D1C60">
        <w:rPr>
          <w:rFonts w:cs="Tahoma"/>
          <w:b/>
          <w:bCs/>
          <w:sz w:val="22"/>
          <w:lang w:eastAsia="en-GB"/>
        </w:rPr>
        <w:t xml:space="preserve"> decyzji </w:t>
      </w:r>
      <w:r w:rsidR="00FF1EBC" w:rsidRPr="00A51BCF">
        <w:rPr>
          <w:rFonts w:cs="Tahoma"/>
          <w:b/>
          <w:bCs/>
          <w:color w:val="000000" w:themeColor="text1"/>
          <w:sz w:val="22"/>
          <w:lang w:eastAsia="en-GB"/>
        </w:rPr>
        <w:t xml:space="preserve">z zakresu ochrony konkurencji </w:t>
      </w:r>
      <w:r w:rsidR="00A51BCF">
        <w:rPr>
          <w:rFonts w:cs="Tahoma"/>
          <w:b/>
          <w:bCs/>
          <w:color w:val="000000" w:themeColor="text1"/>
          <w:sz w:val="22"/>
          <w:lang w:eastAsia="en-GB"/>
        </w:rPr>
        <w:t>i</w:t>
      </w:r>
      <w:r w:rsidR="00A51BCF" w:rsidRPr="00A51BCF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FF1EBC" w:rsidRPr="00A51BCF">
        <w:rPr>
          <w:rFonts w:cs="Tahoma"/>
          <w:b/>
          <w:bCs/>
          <w:color w:val="000000" w:themeColor="text1"/>
          <w:sz w:val="22"/>
          <w:lang w:eastAsia="en-GB"/>
        </w:rPr>
        <w:t xml:space="preserve">konsumentów, </w:t>
      </w:r>
      <w:r w:rsidR="00985ED2">
        <w:rPr>
          <w:rFonts w:cs="Tahoma"/>
          <w:b/>
          <w:bCs/>
          <w:sz w:val="22"/>
          <w:lang w:eastAsia="en-GB"/>
        </w:rPr>
        <w:t>prawie pół miliarda</w:t>
      </w:r>
      <w:r w:rsidR="00FF1EBC" w:rsidRPr="00DF15A9">
        <w:rPr>
          <w:rFonts w:cs="Tahoma"/>
          <w:b/>
          <w:bCs/>
          <w:sz w:val="22"/>
          <w:lang w:eastAsia="en-GB"/>
        </w:rPr>
        <w:t xml:space="preserve"> </w:t>
      </w:r>
      <w:r w:rsidR="0083318B" w:rsidRPr="00DF15A9">
        <w:rPr>
          <w:rFonts w:cs="Tahoma"/>
          <w:b/>
          <w:bCs/>
          <w:sz w:val="22"/>
          <w:lang w:eastAsia="en-GB"/>
        </w:rPr>
        <w:t xml:space="preserve">złotych </w:t>
      </w:r>
      <w:r w:rsidR="00FF1EBC" w:rsidRPr="00A51BCF">
        <w:rPr>
          <w:rFonts w:cs="Tahoma"/>
          <w:b/>
          <w:bCs/>
          <w:color w:val="000000" w:themeColor="text1"/>
          <w:sz w:val="22"/>
          <w:lang w:eastAsia="en-GB"/>
        </w:rPr>
        <w:t>nałożonych kar</w:t>
      </w:r>
      <w:r w:rsidR="00A259A9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ED74461" w14:textId="6CDB88AB" w:rsidR="00986C37" w:rsidRPr="00A259A9" w:rsidRDefault="00160A50" w:rsidP="005116B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sz w:val="22"/>
          <w:lang w:eastAsia="en-GB"/>
        </w:rPr>
        <w:t>Przedstawiamy podsumowanie</w:t>
      </w:r>
      <w:r w:rsidR="005116BF">
        <w:rPr>
          <w:rFonts w:cs="Tahoma"/>
          <w:b/>
          <w:bCs/>
          <w:sz w:val="22"/>
          <w:lang w:eastAsia="en-GB"/>
        </w:rPr>
        <w:t xml:space="preserve"> działań UOKiK w 2021 roku.</w:t>
      </w:r>
    </w:p>
    <w:p w14:paraId="23672F95" w14:textId="459CD275" w:rsidR="00B41502" w:rsidRDefault="0010559C" w:rsidP="003D676B">
      <w:pPr>
        <w:spacing w:after="240" w:line="360" w:lineRule="auto"/>
        <w:jc w:val="both"/>
        <w:rPr>
          <w:iCs/>
          <w:sz w:val="22"/>
        </w:rPr>
      </w:pPr>
      <w:r w:rsidRPr="003D676B">
        <w:rPr>
          <w:b/>
          <w:sz w:val="22"/>
        </w:rPr>
        <w:t>[Wa</w:t>
      </w:r>
      <w:r w:rsidR="00A65F20" w:rsidRPr="003D676B">
        <w:rPr>
          <w:b/>
          <w:sz w:val="22"/>
        </w:rPr>
        <w:t>rszawa,</w:t>
      </w:r>
      <w:r w:rsidR="00884EA4">
        <w:rPr>
          <w:b/>
          <w:sz w:val="22"/>
        </w:rPr>
        <w:t xml:space="preserve"> </w:t>
      </w:r>
      <w:r w:rsidR="00714C68">
        <w:rPr>
          <w:b/>
          <w:sz w:val="22"/>
        </w:rPr>
        <w:t>21</w:t>
      </w:r>
      <w:r w:rsidR="00884EA4">
        <w:rPr>
          <w:b/>
          <w:sz w:val="22"/>
        </w:rPr>
        <w:t xml:space="preserve"> </w:t>
      </w:r>
      <w:r w:rsidR="007326A3">
        <w:rPr>
          <w:b/>
          <w:sz w:val="22"/>
        </w:rPr>
        <w:t>marca</w:t>
      </w:r>
      <w:r w:rsidR="006422DE" w:rsidRPr="003D676B">
        <w:rPr>
          <w:b/>
          <w:sz w:val="22"/>
        </w:rPr>
        <w:t xml:space="preserve"> </w:t>
      </w:r>
      <w:r w:rsidR="00986C37" w:rsidRPr="003D676B">
        <w:rPr>
          <w:b/>
          <w:sz w:val="22"/>
        </w:rPr>
        <w:t>20</w:t>
      </w:r>
      <w:r w:rsidR="00902D8B" w:rsidRPr="003D676B">
        <w:rPr>
          <w:b/>
          <w:sz w:val="22"/>
        </w:rPr>
        <w:t>2</w:t>
      </w:r>
      <w:r w:rsidR="00DF15A9">
        <w:rPr>
          <w:b/>
          <w:sz w:val="22"/>
        </w:rPr>
        <w:t>2</w:t>
      </w:r>
      <w:r w:rsidRPr="003D676B">
        <w:rPr>
          <w:b/>
          <w:sz w:val="22"/>
        </w:rPr>
        <w:t xml:space="preserve"> r.]</w:t>
      </w:r>
      <w:r w:rsidR="001A6E5B" w:rsidRPr="003D676B">
        <w:rPr>
          <w:sz w:val="22"/>
        </w:rPr>
        <w:t xml:space="preserve"> </w:t>
      </w:r>
      <w:r w:rsidR="00A14123" w:rsidRPr="003D676B">
        <w:rPr>
          <w:sz w:val="22"/>
        </w:rPr>
        <w:t>–</w:t>
      </w:r>
      <w:r w:rsidR="00CA66D8">
        <w:rPr>
          <w:sz w:val="22"/>
        </w:rPr>
        <w:t xml:space="preserve"> </w:t>
      </w:r>
      <w:bookmarkStart w:id="0" w:name="_Hlk96673543"/>
      <w:r w:rsidR="00F22E24" w:rsidRPr="00371799">
        <w:rPr>
          <w:i/>
          <w:sz w:val="22"/>
        </w:rPr>
        <w:t>20</w:t>
      </w:r>
      <w:r w:rsidR="00371799">
        <w:rPr>
          <w:i/>
          <w:sz w:val="22"/>
        </w:rPr>
        <w:t>21</w:t>
      </w:r>
      <w:r w:rsidR="008921E4">
        <w:rPr>
          <w:i/>
          <w:sz w:val="22"/>
        </w:rPr>
        <w:t xml:space="preserve"> rok</w:t>
      </w:r>
      <w:bookmarkStart w:id="1" w:name="_GoBack"/>
      <w:bookmarkEnd w:id="1"/>
      <w:r w:rsidR="00F22E24" w:rsidRPr="00371799">
        <w:rPr>
          <w:i/>
          <w:sz w:val="22"/>
        </w:rPr>
        <w:t xml:space="preserve"> </w:t>
      </w:r>
      <w:r w:rsidR="00985ED2">
        <w:rPr>
          <w:i/>
          <w:sz w:val="22"/>
        </w:rPr>
        <w:t xml:space="preserve">to </w:t>
      </w:r>
      <w:r w:rsidR="00F22E24" w:rsidRPr="00371799">
        <w:rPr>
          <w:i/>
          <w:sz w:val="22"/>
        </w:rPr>
        <w:t>p</w:t>
      </w:r>
      <w:r w:rsidR="00371799">
        <w:rPr>
          <w:i/>
          <w:sz w:val="22"/>
        </w:rPr>
        <w:t>rawie</w:t>
      </w:r>
      <w:r w:rsidR="00F22E24" w:rsidRPr="00371799">
        <w:rPr>
          <w:i/>
          <w:sz w:val="22"/>
        </w:rPr>
        <w:t xml:space="preserve"> </w:t>
      </w:r>
      <w:r w:rsidR="00371799">
        <w:rPr>
          <w:i/>
          <w:sz w:val="22"/>
        </w:rPr>
        <w:t>tysiąc</w:t>
      </w:r>
      <w:r w:rsidR="00F22E24" w:rsidRPr="00371799">
        <w:rPr>
          <w:i/>
          <w:sz w:val="22"/>
        </w:rPr>
        <w:t xml:space="preserve"> </w:t>
      </w:r>
      <w:r w:rsidR="00985ED2">
        <w:rPr>
          <w:i/>
          <w:sz w:val="22"/>
        </w:rPr>
        <w:t xml:space="preserve">wydanych </w:t>
      </w:r>
      <w:r w:rsidR="00F22E24" w:rsidRPr="00371799">
        <w:rPr>
          <w:i/>
          <w:sz w:val="22"/>
        </w:rPr>
        <w:t>decyzji</w:t>
      </w:r>
      <w:bookmarkEnd w:id="0"/>
      <w:r w:rsidR="007D733F">
        <w:rPr>
          <w:i/>
          <w:sz w:val="22"/>
        </w:rPr>
        <w:t xml:space="preserve">, w tym pierwsze dotyczące </w:t>
      </w:r>
      <w:r w:rsidR="00014D7A">
        <w:rPr>
          <w:i/>
          <w:sz w:val="22"/>
        </w:rPr>
        <w:t>sprawców</w:t>
      </w:r>
      <w:r w:rsidR="007D733F">
        <w:rPr>
          <w:i/>
          <w:sz w:val="22"/>
        </w:rPr>
        <w:t xml:space="preserve"> zatorów płatniczych. </w:t>
      </w:r>
      <w:bookmarkStart w:id="2" w:name="_Hlk96673613"/>
      <w:r w:rsidR="00985ED2">
        <w:rPr>
          <w:i/>
          <w:sz w:val="22"/>
        </w:rPr>
        <w:t>Suma nałożonych kar wyniosła prawie pół miliarda złotych</w:t>
      </w:r>
      <w:r w:rsidR="007D733F">
        <w:rPr>
          <w:i/>
          <w:sz w:val="22"/>
        </w:rPr>
        <w:t>.</w:t>
      </w:r>
      <w:r w:rsidR="00371799">
        <w:rPr>
          <w:i/>
          <w:sz w:val="22"/>
        </w:rPr>
        <w:t xml:space="preserve"> </w:t>
      </w:r>
      <w:r w:rsidR="007D733F">
        <w:rPr>
          <w:i/>
          <w:sz w:val="22"/>
        </w:rPr>
        <w:t>Po raz pierwszy</w:t>
      </w:r>
      <w:r w:rsidR="00371799">
        <w:rPr>
          <w:i/>
          <w:sz w:val="22"/>
        </w:rPr>
        <w:t xml:space="preserve"> </w:t>
      </w:r>
      <w:r w:rsidR="007D733F">
        <w:rPr>
          <w:i/>
          <w:sz w:val="22"/>
        </w:rPr>
        <w:t xml:space="preserve">sankcje </w:t>
      </w:r>
      <w:r w:rsidR="00371799">
        <w:rPr>
          <w:i/>
          <w:sz w:val="22"/>
        </w:rPr>
        <w:t xml:space="preserve">finansowe </w:t>
      </w:r>
      <w:r w:rsidR="007D733F">
        <w:rPr>
          <w:i/>
          <w:sz w:val="22"/>
        </w:rPr>
        <w:t>dotknęły nie tylko przedsiębiorców, ale także</w:t>
      </w:r>
      <w:r w:rsidR="00371799">
        <w:rPr>
          <w:i/>
          <w:sz w:val="22"/>
        </w:rPr>
        <w:t xml:space="preserve"> </w:t>
      </w:r>
      <w:r w:rsidR="007D5CD6">
        <w:rPr>
          <w:i/>
          <w:sz w:val="22"/>
        </w:rPr>
        <w:t>os</w:t>
      </w:r>
      <w:r w:rsidR="005E6F3B">
        <w:rPr>
          <w:i/>
          <w:sz w:val="22"/>
        </w:rPr>
        <w:t>oby</w:t>
      </w:r>
      <w:r w:rsidR="007D5CD6">
        <w:rPr>
          <w:i/>
          <w:sz w:val="22"/>
        </w:rPr>
        <w:t xml:space="preserve"> zarządzając</w:t>
      </w:r>
      <w:r w:rsidR="005E6F3B">
        <w:rPr>
          <w:i/>
          <w:sz w:val="22"/>
        </w:rPr>
        <w:t>e</w:t>
      </w:r>
      <w:r w:rsidR="00371799">
        <w:rPr>
          <w:i/>
          <w:sz w:val="22"/>
        </w:rPr>
        <w:t xml:space="preserve"> firm</w:t>
      </w:r>
      <w:r w:rsidR="007D5CD6">
        <w:rPr>
          <w:i/>
          <w:sz w:val="22"/>
        </w:rPr>
        <w:t>ami</w:t>
      </w:r>
      <w:r w:rsidR="00371799">
        <w:rPr>
          <w:i/>
          <w:sz w:val="22"/>
        </w:rPr>
        <w:t>, któr</w:t>
      </w:r>
      <w:r w:rsidR="007D5CD6">
        <w:rPr>
          <w:i/>
          <w:sz w:val="22"/>
        </w:rPr>
        <w:t>e</w:t>
      </w:r>
      <w:r w:rsidR="00371799">
        <w:rPr>
          <w:i/>
          <w:sz w:val="22"/>
        </w:rPr>
        <w:t xml:space="preserve"> umyślnie </w:t>
      </w:r>
      <w:r w:rsidR="00BD550C">
        <w:rPr>
          <w:i/>
          <w:sz w:val="22"/>
        </w:rPr>
        <w:t xml:space="preserve">dopuściły </w:t>
      </w:r>
      <w:r w:rsidR="00371799">
        <w:rPr>
          <w:i/>
          <w:sz w:val="22"/>
        </w:rPr>
        <w:t>do naruszeń zbiorowych interesów konsumentów.</w:t>
      </w:r>
      <w:bookmarkEnd w:id="2"/>
      <w:r w:rsidR="00CD00F4">
        <w:rPr>
          <w:i/>
          <w:sz w:val="22"/>
        </w:rPr>
        <w:t xml:space="preserve"> </w:t>
      </w:r>
      <w:bookmarkStart w:id="3" w:name="_Hlk96673638"/>
      <w:r w:rsidR="00985ED2">
        <w:rPr>
          <w:i/>
          <w:sz w:val="22"/>
        </w:rPr>
        <w:t xml:space="preserve">Odpowiedzialność finansową ponieśli również </w:t>
      </w:r>
      <w:r w:rsidR="00CD00F4">
        <w:rPr>
          <w:i/>
          <w:sz w:val="22"/>
        </w:rPr>
        <w:t>menedżer</w:t>
      </w:r>
      <w:r w:rsidR="00985ED2">
        <w:rPr>
          <w:i/>
          <w:sz w:val="22"/>
        </w:rPr>
        <w:t>owie</w:t>
      </w:r>
      <w:r w:rsidR="00CD00F4">
        <w:rPr>
          <w:i/>
          <w:sz w:val="22"/>
        </w:rPr>
        <w:t xml:space="preserve"> odpowiedzialn</w:t>
      </w:r>
      <w:r w:rsidR="00985ED2">
        <w:rPr>
          <w:i/>
          <w:sz w:val="22"/>
        </w:rPr>
        <w:t>i</w:t>
      </w:r>
      <w:r w:rsidR="00CD00F4">
        <w:rPr>
          <w:i/>
          <w:sz w:val="22"/>
        </w:rPr>
        <w:t xml:space="preserve"> </w:t>
      </w:r>
      <w:r w:rsidR="00212019">
        <w:rPr>
          <w:i/>
          <w:sz w:val="22"/>
        </w:rPr>
        <w:t>z</w:t>
      </w:r>
      <w:r w:rsidR="00CD00F4">
        <w:rPr>
          <w:i/>
          <w:sz w:val="22"/>
        </w:rPr>
        <w:t>a zawarcie niedozwolonych, antykonkurencyjnych porozumień.</w:t>
      </w:r>
      <w:r w:rsidR="00371799">
        <w:rPr>
          <w:i/>
          <w:sz w:val="22"/>
        </w:rPr>
        <w:t xml:space="preserve"> </w:t>
      </w:r>
      <w:bookmarkStart w:id="4" w:name="_Hlk96673664"/>
      <w:bookmarkEnd w:id="3"/>
      <w:r w:rsidR="00985ED2">
        <w:rPr>
          <w:i/>
          <w:sz w:val="22"/>
        </w:rPr>
        <w:t>Nowym obszarem działań</w:t>
      </w:r>
      <w:r w:rsidR="00D34765">
        <w:rPr>
          <w:i/>
          <w:sz w:val="22"/>
        </w:rPr>
        <w:t xml:space="preserve"> </w:t>
      </w:r>
      <w:r w:rsidR="00CD00F4">
        <w:rPr>
          <w:i/>
          <w:sz w:val="22"/>
        </w:rPr>
        <w:t>w 2021 r.</w:t>
      </w:r>
      <w:r w:rsidR="00D34765">
        <w:rPr>
          <w:i/>
          <w:sz w:val="22"/>
        </w:rPr>
        <w:t xml:space="preserve"> </w:t>
      </w:r>
      <w:r w:rsidR="00985ED2">
        <w:rPr>
          <w:i/>
          <w:sz w:val="22"/>
        </w:rPr>
        <w:t>były</w:t>
      </w:r>
      <w:r w:rsidR="00D34765">
        <w:rPr>
          <w:i/>
          <w:sz w:val="22"/>
        </w:rPr>
        <w:t xml:space="preserve"> media społecznościowe – wszcz</w:t>
      </w:r>
      <w:r w:rsidR="00985ED2">
        <w:rPr>
          <w:i/>
          <w:sz w:val="22"/>
        </w:rPr>
        <w:t>ąłem</w:t>
      </w:r>
      <w:r w:rsidR="00D34765">
        <w:rPr>
          <w:i/>
          <w:sz w:val="22"/>
        </w:rPr>
        <w:t xml:space="preserve"> postępowania wyjaśniające, w których badamy działalność influencerów. Sprawdzamy, czy prawidłowo oznaczają treści sponsorowane oraz czy nie </w:t>
      </w:r>
      <w:r w:rsidR="007D733F">
        <w:rPr>
          <w:i/>
          <w:sz w:val="22"/>
        </w:rPr>
        <w:t xml:space="preserve">promują tzw. scamu. </w:t>
      </w:r>
      <w:bookmarkEnd w:id="4"/>
      <w:r w:rsidR="007D733F">
        <w:rPr>
          <w:i/>
          <w:sz w:val="22"/>
        </w:rPr>
        <w:t xml:space="preserve">Bardzo ważna w 2021 r. była także tematyka finansowa i edukacja konsumentów w tej dziedzinie, czemu służyła kampania społeczna „Policz i nie przelicz się!” </w:t>
      </w:r>
      <w:r w:rsidR="00346816" w:rsidRPr="003D676B">
        <w:rPr>
          <w:i/>
          <w:iCs/>
          <w:sz w:val="22"/>
        </w:rPr>
        <w:t xml:space="preserve">– </w:t>
      </w:r>
      <w:r w:rsidR="00346816" w:rsidRPr="003D676B">
        <w:rPr>
          <w:iCs/>
          <w:sz w:val="22"/>
        </w:rPr>
        <w:t>mówi Prezes UOKiK Tomasz Chróstny.</w:t>
      </w:r>
    </w:p>
    <w:p w14:paraId="1C70A66B" w14:textId="69E80950" w:rsidR="006105DF" w:rsidRPr="003D676B" w:rsidRDefault="006105DF" w:rsidP="003D676B">
      <w:pPr>
        <w:spacing w:after="240" w:line="360" w:lineRule="auto"/>
        <w:jc w:val="both"/>
        <w:rPr>
          <w:rFonts w:cs="Arial"/>
          <w:sz w:val="22"/>
        </w:rPr>
      </w:pPr>
      <w:r>
        <w:rPr>
          <w:rFonts w:cs="Arial"/>
          <w:noProof/>
          <w:sz w:val="22"/>
          <w:lang w:eastAsia="pl-PL"/>
        </w:rPr>
        <w:drawing>
          <wp:inline distT="0" distB="0" distL="0" distR="0" wp14:anchorId="05BA1E9A" wp14:editId="22BC866A">
            <wp:extent cx="5760720" cy="37007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sumowanie_2021_finał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921CC" w14:textId="77777777" w:rsidR="00A13244" w:rsidRPr="003D676B" w:rsidRDefault="00915501" w:rsidP="003D676B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3D676B">
        <w:rPr>
          <w:rFonts w:cs="Tahoma"/>
          <w:b/>
          <w:bCs/>
          <w:sz w:val="22"/>
          <w:lang w:eastAsia="pl-PL"/>
        </w:rPr>
        <w:lastRenderedPageBreak/>
        <w:t>OCHRONA KONKURENCJI</w:t>
      </w:r>
    </w:p>
    <w:p w14:paraId="35B27191" w14:textId="77777777" w:rsidR="00771995" w:rsidRPr="003D676B" w:rsidRDefault="00771995" w:rsidP="003D676B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3D676B">
        <w:rPr>
          <w:rFonts w:cs="Tahoma"/>
          <w:b/>
          <w:bCs/>
          <w:sz w:val="22"/>
          <w:lang w:eastAsia="pl-PL"/>
        </w:rPr>
        <w:t>Praktyki ograniczające konkurencję</w:t>
      </w:r>
    </w:p>
    <w:p w14:paraId="19BB9514" w14:textId="226FC38F" w:rsidR="00C84231" w:rsidRDefault="00E63B68" w:rsidP="003D676B">
      <w:pPr>
        <w:spacing w:after="240" w:line="360" w:lineRule="auto"/>
        <w:jc w:val="both"/>
        <w:rPr>
          <w:sz w:val="22"/>
        </w:rPr>
      </w:pPr>
      <w:r w:rsidRPr="003D676B">
        <w:rPr>
          <w:sz w:val="22"/>
        </w:rPr>
        <w:t>W 202</w:t>
      </w:r>
      <w:r w:rsidR="00DF15A9">
        <w:rPr>
          <w:sz w:val="22"/>
        </w:rPr>
        <w:t>1</w:t>
      </w:r>
      <w:r w:rsidR="00915501" w:rsidRPr="003D676B">
        <w:rPr>
          <w:sz w:val="22"/>
        </w:rPr>
        <w:t xml:space="preserve"> roku </w:t>
      </w:r>
      <w:r w:rsidR="00C84231" w:rsidRPr="003D676B">
        <w:rPr>
          <w:sz w:val="22"/>
        </w:rPr>
        <w:t xml:space="preserve">Prezes </w:t>
      </w:r>
      <w:r w:rsidR="00915501" w:rsidRPr="003D676B">
        <w:rPr>
          <w:sz w:val="22"/>
        </w:rPr>
        <w:t xml:space="preserve">UOKiK </w:t>
      </w:r>
      <w:r w:rsidR="00915501" w:rsidRPr="003D676B">
        <w:rPr>
          <w:b/>
          <w:sz w:val="22"/>
        </w:rPr>
        <w:t xml:space="preserve">wszczął </w:t>
      </w:r>
      <w:r w:rsidR="006449B9">
        <w:rPr>
          <w:b/>
          <w:sz w:val="22"/>
        </w:rPr>
        <w:t>5</w:t>
      </w:r>
      <w:r w:rsidR="007326A3">
        <w:rPr>
          <w:b/>
          <w:sz w:val="22"/>
        </w:rPr>
        <w:t>0</w:t>
      </w:r>
      <w:r w:rsidR="006449B9">
        <w:rPr>
          <w:b/>
          <w:sz w:val="22"/>
        </w:rPr>
        <w:t xml:space="preserve"> postępowań - </w:t>
      </w:r>
      <w:r w:rsidR="00DF15A9">
        <w:rPr>
          <w:b/>
          <w:sz w:val="22"/>
        </w:rPr>
        <w:t>3</w:t>
      </w:r>
      <w:r w:rsidR="007326A3">
        <w:rPr>
          <w:b/>
          <w:sz w:val="22"/>
        </w:rPr>
        <w:t>8</w:t>
      </w:r>
      <w:r w:rsidR="00011A43" w:rsidRPr="003D676B">
        <w:rPr>
          <w:b/>
          <w:sz w:val="22"/>
        </w:rPr>
        <w:t xml:space="preserve"> </w:t>
      </w:r>
      <w:r w:rsidR="00915501" w:rsidRPr="003D676B">
        <w:rPr>
          <w:b/>
          <w:sz w:val="22"/>
        </w:rPr>
        <w:t>wyjaśniając</w:t>
      </w:r>
      <w:r w:rsidR="00DF15A9">
        <w:rPr>
          <w:b/>
          <w:sz w:val="22"/>
        </w:rPr>
        <w:t>ych</w:t>
      </w:r>
      <w:r w:rsidR="00915501" w:rsidRPr="003D676B">
        <w:rPr>
          <w:b/>
          <w:sz w:val="22"/>
        </w:rPr>
        <w:t xml:space="preserve"> i </w:t>
      </w:r>
      <w:r w:rsidR="00561066" w:rsidRPr="00BD550C">
        <w:rPr>
          <w:b/>
          <w:color w:val="000000" w:themeColor="text1"/>
          <w:sz w:val="22"/>
        </w:rPr>
        <w:t xml:space="preserve">12 </w:t>
      </w:r>
      <w:r w:rsidR="00C84231" w:rsidRPr="003D676B">
        <w:rPr>
          <w:b/>
          <w:sz w:val="22"/>
        </w:rPr>
        <w:t>antymonopolowych</w:t>
      </w:r>
      <w:r w:rsidR="00420533">
        <w:rPr>
          <w:b/>
          <w:sz w:val="22"/>
        </w:rPr>
        <w:t xml:space="preserve"> </w:t>
      </w:r>
      <w:r w:rsidR="006449B9">
        <w:rPr>
          <w:b/>
          <w:sz w:val="22"/>
        </w:rPr>
        <w:t>dotycz</w:t>
      </w:r>
      <w:r w:rsidR="00F23026">
        <w:rPr>
          <w:b/>
          <w:sz w:val="22"/>
        </w:rPr>
        <w:t>ących</w:t>
      </w:r>
      <w:r w:rsidR="00420533">
        <w:rPr>
          <w:b/>
          <w:sz w:val="22"/>
        </w:rPr>
        <w:t xml:space="preserve"> praktyk ograniczających konkurencję</w:t>
      </w:r>
      <w:r w:rsidR="00915501" w:rsidRPr="003D676B">
        <w:rPr>
          <w:sz w:val="22"/>
        </w:rPr>
        <w:t xml:space="preserve">. Ponadto wystosował </w:t>
      </w:r>
      <w:r w:rsidR="00B62A18" w:rsidRPr="00BD550C">
        <w:rPr>
          <w:b/>
          <w:sz w:val="22"/>
        </w:rPr>
        <w:t>9</w:t>
      </w:r>
      <w:r w:rsidR="00B55AB8" w:rsidRPr="00BD550C">
        <w:rPr>
          <w:b/>
          <w:sz w:val="22"/>
        </w:rPr>
        <w:t xml:space="preserve">3 </w:t>
      </w:r>
      <w:r w:rsidR="00C84231" w:rsidRPr="00BD550C">
        <w:rPr>
          <w:b/>
          <w:sz w:val="22"/>
        </w:rPr>
        <w:t>wystąpienia miękkie</w:t>
      </w:r>
      <w:r w:rsidR="00C84231" w:rsidRPr="003D676B">
        <w:rPr>
          <w:sz w:val="22"/>
        </w:rPr>
        <w:t xml:space="preserve"> do przedsiębiorców.</w:t>
      </w:r>
      <w:r w:rsidR="00915501" w:rsidRPr="003D676B">
        <w:rPr>
          <w:sz w:val="22"/>
        </w:rPr>
        <w:t xml:space="preserve"> </w:t>
      </w:r>
      <w:r w:rsidR="00C84231" w:rsidRPr="003D676B">
        <w:rPr>
          <w:sz w:val="22"/>
        </w:rPr>
        <w:t xml:space="preserve">Polegają one na </w:t>
      </w:r>
      <w:r w:rsidR="0021320D">
        <w:rPr>
          <w:sz w:val="22"/>
        </w:rPr>
        <w:t>wezwaniu do przedstawienia wyjaśnień,</w:t>
      </w:r>
      <w:r w:rsidR="0021320D" w:rsidRPr="003D676B">
        <w:rPr>
          <w:sz w:val="22"/>
        </w:rPr>
        <w:t xml:space="preserve"> </w:t>
      </w:r>
      <w:r w:rsidR="00C84231" w:rsidRPr="003D676B">
        <w:rPr>
          <w:sz w:val="22"/>
        </w:rPr>
        <w:t>zmiany bądź eliminacji nie</w:t>
      </w:r>
      <w:r w:rsidR="00EE0D26">
        <w:rPr>
          <w:sz w:val="22"/>
        </w:rPr>
        <w:t>dozwolonych</w:t>
      </w:r>
      <w:r w:rsidR="00C84231" w:rsidRPr="003D676B">
        <w:rPr>
          <w:sz w:val="22"/>
        </w:rPr>
        <w:t xml:space="preserve"> działań.</w:t>
      </w:r>
      <w:r w:rsidR="00986C37" w:rsidRPr="003D676B">
        <w:rPr>
          <w:sz w:val="22"/>
        </w:rPr>
        <w:t xml:space="preserve"> </w:t>
      </w:r>
    </w:p>
    <w:p w14:paraId="4C52EC18" w14:textId="22D2ABC5" w:rsidR="00C84231" w:rsidRDefault="000A7ECF" w:rsidP="003D676B">
      <w:pPr>
        <w:spacing w:after="240" w:line="360" w:lineRule="auto"/>
        <w:jc w:val="both"/>
        <w:rPr>
          <w:bCs/>
          <w:sz w:val="22"/>
        </w:rPr>
      </w:pPr>
      <w:r w:rsidRPr="00346444">
        <w:rPr>
          <w:bCs/>
          <w:sz w:val="22"/>
        </w:rPr>
        <w:t>Prezes Urzędu</w:t>
      </w:r>
      <w:r w:rsidR="002D1DA4" w:rsidRPr="00346444">
        <w:rPr>
          <w:bCs/>
          <w:sz w:val="22"/>
        </w:rPr>
        <w:t xml:space="preserve"> </w:t>
      </w:r>
      <w:r w:rsidR="00C84231" w:rsidRPr="00346444">
        <w:rPr>
          <w:bCs/>
          <w:sz w:val="22"/>
        </w:rPr>
        <w:t>wydał w 20</w:t>
      </w:r>
      <w:r w:rsidR="00EE0D26" w:rsidRPr="00346444">
        <w:rPr>
          <w:bCs/>
          <w:sz w:val="22"/>
        </w:rPr>
        <w:t>2</w:t>
      </w:r>
      <w:r w:rsidR="005D734D" w:rsidRPr="00346444">
        <w:rPr>
          <w:bCs/>
          <w:sz w:val="22"/>
        </w:rPr>
        <w:t>1</w:t>
      </w:r>
      <w:r w:rsidR="00C84231" w:rsidRPr="00346444">
        <w:rPr>
          <w:bCs/>
          <w:sz w:val="22"/>
        </w:rPr>
        <w:t xml:space="preserve"> roku</w:t>
      </w:r>
      <w:r w:rsidR="00C84231" w:rsidRPr="00346444">
        <w:rPr>
          <w:b/>
          <w:bCs/>
          <w:sz w:val="22"/>
        </w:rPr>
        <w:t xml:space="preserve"> 1</w:t>
      </w:r>
      <w:r w:rsidR="00C93841" w:rsidRPr="00346444">
        <w:rPr>
          <w:b/>
          <w:bCs/>
          <w:sz w:val="22"/>
        </w:rPr>
        <w:t>3</w:t>
      </w:r>
      <w:r w:rsidR="00C84231" w:rsidRPr="00346444">
        <w:rPr>
          <w:b/>
          <w:bCs/>
          <w:sz w:val="22"/>
        </w:rPr>
        <w:t xml:space="preserve"> decyzji z zakresu praktyk ograniczających konkurencję</w:t>
      </w:r>
      <w:r w:rsidR="00C84231" w:rsidRPr="00346444">
        <w:rPr>
          <w:sz w:val="22"/>
        </w:rPr>
        <w:t xml:space="preserve">, z czego </w:t>
      </w:r>
      <w:r w:rsidR="00A51BCF" w:rsidRPr="00346444">
        <w:rPr>
          <w:sz w:val="22"/>
        </w:rPr>
        <w:t>1</w:t>
      </w:r>
      <w:r w:rsidR="00346444" w:rsidRPr="00346444">
        <w:rPr>
          <w:sz w:val="22"/>
        </w:rPr>
        <w:t>2</w:t>
      </w:r>
      <w:r w:rsidR="00A51BCF" w:rsidRPr="00346444">
        <w:rPr>
          <w:sz w:val="22"/>
        </w:rPr>
        <w:t xml:space="preserve"> </w:t>
      </w:r>
      <w:r w:rsidR="00C84231" w:rsidRPr="00346444">
        <w:rPr>
          <w:sz w:val="22"/>
        </w:rPr>
        <w:t>dotyczyło niedozwolonych porozumień</w:t>
      </w:r>
      <w:r w:rsidR="00267EFE" w:rsidRPr="00346444">
        <w:rPr>
          <w:sz w:val="22"/>
        </w:rPr>
        <w:t xml:space="preserve">, </w:t>
      </w:r>
      <w:r w:rsidR="00C84231" w:rsidRPr="00346444">
        <w:rPr>
          <w:sz w:val="22"/>
        </w:rPr>
        <w:t xml:space="preserve">a </w:t>
      </w:r>
      <w:r w:rsidR="00A51BCF" w:rsidRPr="00346444">
        <w:rPr>
          <w:sz w:val="22"/>
        </w:rPr>
        <w:t xml:space="preserve">jedna </w:t>
      </w:r>
      <w:r w:rsidR="00346444">
        <w:rPr>
          <w:sz w:val="22"/>
        </w:rPr>
        <w:t xml:space="preserve">- </w:t>
      </w:r>
      <w:r w:rsidR="00267EFE" w:rsidRPr="00346444">
        <w:rPr>
          <w:sz w:val="22"/>
        </w:rPr>
        <w:t>nadużywania pozycji dominującej</w:t>
      </w:r>
      <w:r w:rsidR="00346444">
        <w:rPr>
          <w:b/>
          <w:bCs/>
          <w:sz w:val="22"/>
        </w:rPr>
        <w:t xml:space="preserve">. </w:t>
      </w:r>
      <w:r w:rsidR="00C84231" w:rsidRPr="00346444">
        <w:rPr>
          <w:b/>
          <w:bCs/>
          <w:sz w:val="22"/>
        </w:rPr>
        <w:t>Łączne kary finansowe wyniosły</w:t>
      </w:r>
      <w:r w:rsidR="00EE0D26" w:rsidRPr="00346444">
        <w:rPr>
          <w:b/>
          <w:bCs/>
          <w:sz w:val="22"/>
        </w:rPr>
        <w:t xml:space="preserve"> </w:t>
      </w:r>
      <w:r w:rsidR="00F23960" w:rsidRPr="00346444">
        <w:rPr>
          <w:b/>
          <w:sz w:val="22"/>
        </w:rPr>
        <w:t>1</w:t>
      </w:r>
      <w:r w:rsidR="00346444" w:rsidRPr="00346444">
        <w:rPr>
          <w:b/>
          <w:sz w:val="22"/>
        </w:rPr>
        <w:t>2</w:t>
      </w:r>
      <w:r w:rsidR="00FF4630">
        <w:rPr>
          <w:b/>
          <w:sz w:val="22"/>
        </w:rPr>
        <w:t>9</w:t>
      </w:r>
      <w:r w:rsidR="00F23960" w:rsidRPr="00346444">
        <w:rPr>
          <w:b/>
          <w:sz w:val="22"/>
        </w:rPr>
        <w:t>,</w:t>
      </w:r>
      <w:r w:rsidR="00346444" w:rsidRPr="00346444">
        <w:rPr>
          <w:b/>
          <w:sz w:val="22"/>
        </w:rPr>
        <w:t>3</w:t>
      </w:r>
      <w:r w:rsidR="00F23960" w:rsidRPr="00346444">
        <w:rPr>
          <w:b/>
          <w:sz w:val="22"/>
        </w:rPr>
        <w:t xml:space="preserve"> mln zł</w:t>
      </w:r>
      <w:r w:rsidR="00C84231" w:rsidRPr="00346444">
        <w:rPr>
          <w:b/>
          <w:bCs/>
          <w:sz w:val="22"/>
        </w:rPr>
        <w:t>.</w:t>
      </w:r>
      <w:r w:rsidR="00D525D6" w:rsidRPr="00346444">
        <w:rPr>
          <w:b/>
          <w:bCs/>
          <w:sz w:val="22"/>
        </w:rPr>
        <w:t xml:space="preserve"> </w:t>
      </w:r>
      <w:r w:rsidR="00D525D6" w:rsidRPr="00346444">
        <w:rPr>
          <w:bCs/>
          <w:sz w:val="22"/>
        </w:rPr>
        <w:t xml:space="preserve">W </w:t>
      </w:r>
      <w:r w:rsidR="00F23960" w:rsidRPr="00346444">
        <w:rPr>
          <w:bCs/>
          <w:sz w:val="22"/>
        </w:rPr>
        <w:t xml:space="preserve">czterech </w:t>
      </w:r>
      <w:r w:rsidR="00D525D6" w:rsidRPr="00346444">
        <w:rPr>
          <w:bCs/>
          <w:sz w:val="22"/>
        </w:rPr>
        <w:t>przy</w:t>
      </w:r>
      <w:r w:rsidR="00346444" w:rsidRPr="00346444">
        <w:rPr>
          <w:bCs/>
          <w:sz w:val="22"/>
        </w:rPr>
        <w:t xml:space="preserve">padkach sankcje obniżono dzięki </w:t>
      </w:r>
      <w:hyperlink r:id="rId10" w:history="1">
        <w:r w:rsidR="00346444">
          <w:rPr>
            <w:rStyle w:val="Hipercze"/>
            <w:sz w:val="22"/>
          </w:rPr>
          <w:t xml:space="preserve">programowi łagodzenia kar </w:t>
        </w:r>
        <w:r w:rsidR="00D525D6" w:rsidRPr="00346444">
          <w:rPr>
            <w:rStyle w:val="Hipercze"/>
            <w:i/>
            <w:sz w:val="22"/>
          </w:rPr>
          <w:t>leniency</w:t>
        </w:r>
      </w:hyperlink>
      <w:r w:rsidR="000F7CAC">
        <w:rPr>
          <w:bCs/>
          <w:sz w:val="22"/>
        </w:rPr>
        <w:t xml:space="preserve">, wydano również </w:t>
      </w:r>
      <w:r w:rsidR="000F7CAC" w:rsidRPr="000F7CAC">
        <w:rPr>
          <w:bCs/>
          <w:sz w:val="22"/>
        </w:rPr>
        <w:t>3 decyzje z wykorzystaniem procedury dobrowolnego poddania się karze</w:t>
      </w:r>
      <w:r w:rsidR="00A81210">
        <w:rPr>
          <w:bCs/>
          <w:sz w:val="22"/>
        </w:rPr>
        <w:t>.</w:t>
      </w:r>
      <w:r w:rsidR="00D525D6" w:rsidRPr="00346444">
        <w:rPr>
          <w:bCs/>
          <w:sz w:val="22"/>
        </w:rPr>
        <w:t xml:space="preserve"> </w:t>
      </w:r>
      <w:r w:rsidR="00F23960" w:rsidRPr="00346444">
        <w:rPr>
          <w:bCs/>
          <w:sz w:val="22"/>
        </w:rPr>
        <w:t>W 202</w:t>
      </w:r>
      <w:r w:rsidR="00346444" w:rsidRPr="00346444">
        <w:rPr>
          <w:bCs/>
          <w:sz w:val="22"/>
        </w:rPr>
        <w:t>1</w:t>
      </w:r>
      <w:r w:rsidR="00D525D6" w:rsidRPr="00346444">
        <w:rPr>
          <w:bCs/>
          <w:sz w:val="22"/>
        </w:rPr>
        <w:t xml:space="preserve"> r. przedsiębiorcy złożyli</w:t>
      </w:r>
      <w:r w:rsidR="00F23960" w:rsidRPr="00346444">
        <w:rPr>
          <w:bCs/>
          <w:sz w:val="22"/>
        </w:rPr>
        <w:t xml:space="preserve"> </w:t>
      </w:r>
      <w:r w:rsidR="00346444" w:rsidRPr="00346444">
        <w:rPr>
          <w:bCs/>
          <w:sz w:val="22"/>
        </w:rPr>
        <w:t>cztery</w:t>
      </w:r>
      <w:r w:rsidR="00D525D6" w:rsidRPr="00346444">
        <w:rPr>
          <w:bCs/>
          <w:sz w:val="22"/>
        </w:rPr>
        <w:t xml:space="preserve"> </w:t>
      </w:r>
      <w:r w:rsidR="00F23960" w:rsidRPr="00346444">
        <w:rPr>
          <w:bCs/>
          <w:sz w:val="22"/>
        </w:rPr>
        <w:t>wnioski</w:t>
      </w:r>
      <w:r w:rsidR="00D525D6" w:rsidRPr="00346444">
        <w:rPr>
          <w:bCs/>
          <w:sz w:val="22"/>
        </w:rPr>
        <w:t xml:space="preserve"> o objęcie programem</w:t>
      </w:r>
      <w:r w:rsidR="00A81210">
        <w:rPr>
          <w:bCs/>
          <w:sz w:val="22"/>
        </w:rPr>
        <w:t xml:space="preserve"> </w:t>
      </w:r>
      <w:r w:rsidR="00A81210">
        <w:rPr>
          <w:bCs/>
          <w:i/>
          <w:sz w:val="22"/>
        </w:rPr>
        <w:t>l</w:t>
      </w:r>
      <w:r w:rsidR="00A81210" w:rsidRPr="00A81210">
        <w:rPr>
          <w:bCs/>
          <w:i/>
          <w:sz w:val="22"/>
        </w:rPr>
        <w:t>eniency</w:t>
      </w:r>
      <w:r w:rsidR="00D525D6" w:rsidRPr="00346444">
        <w:rPr>
          <w:bCs/>
          <w:sz w:val="22"/>
        </w:rPr>
        <w:t>.</w:t>
      </w:r>
    </w:p>
    <w:p w14:paraId="13DCD5D0" w14:textId="7465C625" w:rsidR="00346444" w:rsidRPr="00346444" w:rsidRDefault="00346444" w:rsidP="009C2AD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</w:pPr>
      <w:r w:rsidRPr="007D5CD6">
        <w:rPr>
          <w:rFonts w:ascii="Trebuchet MS" w:hAnsi="Trebuchet MS"/>
          <w:bCs/>
          <w:color w:val="000000" w:themeColor="text1"/>
          <w:sz w:val="22"/>
          <w:szCs w:val="22"/>
        </w:rPr>
        <w:t xml:space="preserve">Najwyższe kary za praktyki ograniczające konkurencję w 2021 r. zostały nałożone </w:t>
      </w:r>
      <w:r w:rsidR="00D22A18" w:rsidRPr="007D5CD6">
        <w:rPr>
          <w:rFonts w:ascii="Trebuchet MS" w:hAnsi="Trebuchet MS"/>
          <w:bCs/>
          <w:color w:val="000000" w:themeColor="text1"/>
          <w:sz w:val="22"/>
          <w:szCs w:val="22"/>
        </w:rPr>
        <w:t xml:space="preserve">w </w:t>
      </w:r>
      <w:hyperlink r:id="rId11" w:history="1">
        <w:r w:rsidR="00D22A18" w:rsidRPr="009C2AD5">
          <w:rPr>
            <w:rStyle w:val="Hipercze"/>
            <w:rFonts w:ascii="Trebuchet MS" w:hAnsi="Trebuchet MS"/>
            <w:bCs/>
            <w:sz w:val="22"/>
            <w:szCs w:val="22"/>
          </w:rPr>
          <w:t>dwóch decyzjach</w:t>
        </w:r>
      </w:hyperlink>
      <w:r w:rsidR="00D22A18" w:rsidRPr="007D5CD6">
        <w:rPr>
          <w:rFonts w:ascii="Trebuchet MS" w:hAnsi="Trebuchet MS"/>
          <w:bCs/>
          <w:color w:val="000000" w:themeColor="text1"/>
          <w:sz w:val="22"/>
          <w:szCs w:val="22"/>
        </w:rPr>
        <w:t xml:space="preserve"> dotyczących niedozwolonych porozumień sprzedawców samochodów ciężarowych</w:t>
      </w:r>
      <w:r w:rsidR="00420533" w:rsidRPr="007D5CD6">
        <w:rPr>
          <w:rFonts w:ascii="Trebuchet MS" w:hAnsi="Trebuchet MS"/>
          <w:bCs/>
          <w:color w:val="000000" w:themeColor="text1"/>
          <w:sz w:val="22"/>
          <w:szCs w:val="22"/>
        </w:rPr>
        <w:t xml:space="preserve"> marki DAF</w:t>
      </w:r>
      <w:r w:rsidR="0023023D" w:rsidRPr="007D5CD6">
        <w:rPr>
          <w:rFonts w:ascii="Trebuchet MS" w:hAnsi="Trebuchet MS"/>
          <w:bCs/>
          <w:color w:val="000000" w:themeColor="text1"/>
          <w:sz w:val="22"/>
          <w:szCs w:val="22"/>
        </w:rPr>
        <w:t xml:space="preserve">. </w:t>
      </w:r>
      <w:r w:rsidR="0023023D" w:rsidRPr="007D5CD6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W pierwszej z nich Prezes UOKiK stwierdził zawarcie </w:t>
      </w:r>
      <w:r w:rsidR="007D5CD6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zmowy </w:t>
      </w:r>
      <w:r w:rsidR="0023023D" w:rsidRPr="007D5CD6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pomiędzy pięcioma spółkami: DBK, ESA Trucks Polska, TB Truck &amp; Trailer, Van Tilburg-Bastianen Groep i WTC. Przedsiębiorcy podzielili między sobą rynek i wymieniali się informacjami o cenach. W przypadku czterech </w:t>
      </w:r>
      <w:r w:rsidR="007D5CD6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podmiotów</w:t>
      </w:r>
      <w:r w:rsidR="007D5CD6" w:rsidRPr="007D5CD6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3023D" w:rsidRPr="007D5CD6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(bez ESA Trucks Polska) ustalenia dotyczyły również wymiany informacji o ofertach składanych w przetargach.</w:t>
      </w:r>
      <w:r w:rsidR="00CD00F4" w:rsidRPr="007D5CD6">
        <w:rPr>
          <w:rFonts w:ascii="Trebuchet MS" w:hAnsi="Trebuchet MS"/>
          <w:bCs/>
          <w:color w:val="000000" w:themeColor="text1"/>
          <w:sz w:val="22"/>
          <w:szCs w:val="22"/>
        </w:rPr>
        <w:t xml:space="preserve"> </w:t>
      </w:r>
      <w:r w:rsidR="0023023D" w:rsidRPr="007D5CD6">
        <w:rPr>
          <w:rFonts w:ascii="Trebuchet MS" w:hAnsi="Trebuchet MS"/>
          <w:bCs/>
          <w:color w:val="000000" w:themeColor="text1"/>
          <w:sz w:val="22"/>
          <w:szCs w:val="22"/>
        </w:rPr>
        <w:t xml:space="preserve">Prezes UOKiK nałożył na spółki kary w łącznej wysokości ponad 118 mln zł. </w:t>
      </w:r>
      <w:r w:rsidR="00905C77" w:rsidRPr="007D5CD6">
        <w:rPr>
          <w:rFonts w:ascii="Trebuchet MS" w:hAnsi="Trebuchet MS"/>
          <w:bCs/>
          <w:color w:val="000000" w:themeColor="text1"/>
          <w:sz w:val="22"/>
          <w:szCs w:val="22"/>
        </w:rPr>
        <w:t xml:space="preserve">Sankcje finansowe – w wysokości blisko 1,7 mln zł </w:t>
      </w:r>
      <w:r w:rsidR="007D5CD6">
        <w:rPr>
          <w:rFonts w:ascii="Trebuchet MS" w:hAnsi="Trebuchet MS"/>
          <w:bCs/>
          <w:color w:val="000000" w:themeColor="text1"/>
          <w:sz w:val="22"/>
          <w:szCs w:val="22"/>
        </w:rPr>
        <w:t xml:space="preserve">- </w:t>
      </w:r>
      <w:r w:rsidR="00905C77" w:rsidRPr="007D5CD6">
        <w:rPr>
          <w:rFonts w:ascii="Trebuchet MS" w:hAnsi="Trebuchet MS"/>
          <w:bCs/>
          <w:color w:val="000000" w:themeColor="text1"/>
          <w:sz w:val="22"/>
          <w:szCs w:val="22"/>
        </w:rPr>
        <w:t xml:space="preserve">zostały nałożone również na ośmiu </w:t>
      </w:r>
      <w:r w:rsidR="00A81210" w:rsidRPr="007D5CD6">
        <w:rPr>
          <w:rFonts w:ascii="Trebuchet MS" w:hAnsi="Trebuchet MS"/>
          <w:bCs/>
          <w:color w:val="000000" w:themeColor="text1"/>
          <w:sz w:val="22"/>
          <w:szCs w:val="22"/>
        </w:rPr>
        <w:t>men</w:t>
      </w:r>
      <w:r w:rsidR="00A81210">
        <w:rPr>
          <w:rFonts w:ascii="Trebuchet MS" w:hAnsi="Trebuchet MS"/>
          <w:bCs/>
          <w:color w:val="000000" w:themeColor="text1"/>
          <w:sz w:val="22"/>
          <w:szCs w:val="22"/>
        </w:rPr>
        <w:t>e</w:t>
      </w:r>
      <w:r w:rsidR="00A81210" w:rsidRPr="007D5CD6">
        <w:rPr>
          <w:rFonts w:ascii="Trebuchet MS" w:hAnsi="Trebuchet MS"/>
          <w:bCs/>
          <w:color w:val="000000" w:themeColor="text1"/>
          <w:sz w:val="22"/>
          <w:szCs w:val="22"/>
        </w:rPr>
        <w:t>dżerów</w:t>
      </w:r>
      <w:r w:rsidR="00905C77" w:rsidRPr="007D5CD6">
        <w:rPr>
          <w:rFonts w:ascii="Trebuchet MS" w:hAnsi="Trebuchet MS"/>
          <w:bCs/>
          <w:color w:val="000000" w:themeColor="text1"/>
          <w:sz w:val="22"/>
          <w:szCs w:val="22"/>
        </w:rPr>
        <w:t xml:space="preserve">, którzy brali aktywny udział w zmowie. Druga decyzja dotycząca dealerów ciężarówek </w:t>
      </w:r>
      <w:r w:rsidR="008678F5" w:rsidRPr="007D5CD6">
        <w:rPr>
          <w:rFonts w:ascii="Trebuchet MS" w:hAnsi="Trebuchet MS" w:cs="Tahoma"/>
          <w:color w:val="000000" w:themeColor="text1"/>
          <w:sz w:val="22"/>
          <w:szCs w:val="22"/>
        </w:rPr>
        <w:t>dotyczy trzech spółek: Firm</w:t>
      </w:r>
      <w:r w:rsidR="007D5CD6">
        <w:rPr>
          <w:rFonts w:ascii="Trebuchet MS" w:hAnsi="Trebuchet MS" w:cs="Tahoma"/>
          <w:color w:val="000000" w:themeColor="text1"/>
          <w:sz w:val="22"/>
          <w:szCs w:val="22"/>
        </w:rPr>
        <w:t>y</w:t>
      </w:r>
      <w:r w:rsidR="008678F5" w:rsidRPr="007D5CD6">
        <w:rPr>
          <w:rFonts w:ascii="Trebuchet MS" w:hAnsi="Trebuchet MS" w:cs="Tahoma"/>
          <w:color w:val="000000" w:themeColor="text1"/>
          <w:sz w:val="22"/>
          <w:szCs w:val="22"/>
        </w:rPr>
        <w:t xml:space="preserve"> Wanicki, DBK i WTC.</w:t>
      </w:r>
      <w:r w:rsidR="008678F5" w:rsidRPr="007D5CD6">
        <w:rPr>
          <w:rFonts w:ascii="Trebuchet MS" w:hAnsi="Trebuchet MS" w:cs="Tahoma"/>
          <w:i/>
          <w:iCs/>
          <w:color w:val="000000" w:themeColor="text1"/>
          <w:sz w:val="22"/>
          <w:szCs w:val="22"/>
        </w:rPr>
        <w:t xml:space="preserve"> </w:t>
      </w:r>
      <w:r w:rsidR="007D5CD6" w:rsidRPr="00A81210">
        <w:rPr>
          <w:rFonts w:ascii="Trebuchet MS" w:hAnsi="Trebuchet MS" w:cs="Tahoma"/>
          <w:iCs/>
          <w:color w:val="000000" w:themeColor="text1"/>
          <w:sz w:val="22"/>
        </w:rPr>
        <w:t>P</w:t>
      </w:r>
      <w:r w:rsidR="008678F5" w:rsidRPr="00A81210">
        <w:rPr>
          <w:rFonts w:ascii="Trebuchet MS" w:hAnsi="Trebuchet MS" w:cs="Tahoma"/>
          <w:iCs/>
          <w:color w:val="000000" w:themeColor="text1"/>
          <w:sz w:val="22"/>
        </w:rPr>
        <w:t>rzedsiębiorcy podzielili między sobą rynek</w:t>
      </w:r>
      <w:r w:rsidR="007D5CD6" w:rsidRPr="00A81210">
        <w:rPr>
          <w:rFonts w:ascii="Trebuchet MS" w:hAnsi="Trebuchet MS" w:cs="Tahoma"/>
          <w:iCs/>
          <w:color w:val="000000" w:themeColor="text1"/>
          <w:sz w:val="22"/>
        </w:rPr>
        <w:t>, w</w:t>
      </w:r>
      <w:r w:rsidR="008678F5" w:rsidRPr="00A81210">
        <w:rPr>
          <w:rFonts w:ascii="Trebuchet MS" w:hAnsi="Trebuchet MS" w:cs="Tahoma"/>
          <w:iCs/>
          <w:color w:val="000000" w:themeColor="text1"/>
          <w:sz w:val="22"/>
        </w:rPr>
        <w:t xml:space="preserve">spólnie uzgodnili, że każdy z nich będzie startować w przetargach publicznych jedynie na określonym terytorium. </w:t>
      </w:r>
      <w:r w:rsidR="008678F5" w:rsidRPr="00A81210">
        <w:rPr>
          <w:rFonts w:ascii="Trebuchet MS" w:hAnsi="Trebuchet MS" w:cs="Tahoma"/>
          <w:color w:val="000000" w:themeColor="text1"/>
          <w:sz w:val="22"/>
        </w:rPr>
        <w:t>Łączne kary wyniosły ponad 2,65 mln zł.</w:t>
      </w:r>
    </w:p>
    <w:p w14:paraId="19568186" w14:textId="7F6F7213" w:rsidR="002A00FA" w:rsidRPr="00E64E95" w:rsidRDefault="002A00FA" w:rsidP="003D676B">
      <w:pPr>
        <w:spacing w:after="240" w:line="360" w:lineRule="auto"/>
        <w:jc w:val="both"/>
        <w:rPr>
          <w:b/>
          <w:sz w:val="22"/>
        </w:rPr>
      </w:pPr>
      <w:r w:rsidRPr="00E64E95">
        <w:rPr>
          <w:b/>
          <w:sz w:val="22"/>
        </w:rPr>
        <w:t>Kontrola koncentracji</w:t>
      </w:r>
      <w:r w:rsidR="00E64E95">
        <w:rPr>
          <w:b/>
          <w:sz w:val="22"/>
        </w:rPr>
        <w:t xml:space="preserve"> </w:t>
      </w:r>
      <w:r w:rsidR="00E64E95" w:rsidRPr="00A81210">
        <w:rPr>
          <w:b/>
          <w:sz w:val="22"/>
        </w:rPr>
        <w:t>i inwestycji</w:t>
      </w:r>
    </w:p>
    <w:p w14:paraId="26B3A036" w14:textId="62433BA0" w:rsidR="002A00FA" w:rsidRDefault="00B708CB" w:rsidP="003D676B">
      <w:pPr>
        <w:spacing w:after="240" w:line="360" w:lineRule="auto"/>
        <w:jc w:val="both"/>
        <w:rPr>
          <w:b/>
          <w:bCs/>
          <w:sz w:val="22"/>
        </w:rPr>
      </w:pPr>
      <w:r w:rsidRPr="00E64E95">
        <w:rPr>
          <w:iCs/>
          <w:sz w:val="22"/>
        </w:rPr>
        <w:t>Ochrona konkurencji to ta</w:t>
      </w:r>
      <w:r w:rsidR="00643BC8" w:rsidRPr="00E64E95">
        <w:rPr>
          <w:iCs/>
          <w:sz w:val="22"/>
        </w:rPr>
        <w:t xml:space="preserve">kże kontrola koncentracji. </w:t>
      </w:r>
      <w:hyperlink r:id="rId12" w:history="1">
        <w:r w:rsidR="00E64E95" w:rsidRPr="00E64E95">
          <w:rPr>
            <w:rStyle w:val="Hipercze"/>
            <w:iCs/>
            <w:sz w:val="22"/>
          </w:rPr>
          <w:t>Rok 2021 był rekordowy pod względem fuzji i przejęć przedsiębiorców</w:t>
        </w:r>
      </w:hyperlink>
      <w:r w:rsidR="00E64E95" w:rsidRPr="00E64E95">
        <w:rPr>
          <w:iCs/>
          <w:sz w:val="22"/>
        </w:rPr>
        <w:t>.</w:t>
      </w:r>
      <w:r w:rsidR="00E64E95">
        <w:rPr>
          <w:iCs/>
          <w:sz w:val="22"/>
        </w:rPr>
        <w:t xml:space="preserve"> </w:t>
      </w:r>
      <w:r w:rsidR="00E64E95" w:rsidRPr="00E64E95">
        <w:rPr>
          <w:bCs/>
          <w:sz w:val="22"/>
        </w:rPr>
        <w:t>Prezes U</w:t>
      </w:r>
      <w:r w:rsidR="00E64E95">
        <w:rPr>
          <w:bCs/>
          <w:sz w:val="22"/>
        </w:rPr>
        <w:t>OKiK</w:t>
      </w:r>
      <w:r w:rsidR="00E64E95" w:rsidRPr="00E64E95">
        <w:rPr>
          <w:b/>
          <w:bCs/>
          <w:sz w:val="22"/>
        </w:rPr>
        <w:t xml:space="preserve"> </w:t>
      </w:r>
      <w:r w:rsidR="00E64E95" w:rsidRPr="00E64E95">
        <w:rPr>
          <w:sz w:val="22"/>
        </w:rPr>
        <w:t xml:space="preserve">wydał </w:t>
      </w:r>
      <w:r w:rsidR="00E64E95" w:rsidRPr="00E64E95">
        <w:rPr>
          <w:b/>
          <w:iCs/>
          <w:sz w:val="22"/>
        </w:rPr>
        <w:t>300 decyzji</w:t>
      </w:r>
      <w:r w:rsidR="00E64E95" w:rsidRPr="00E64E95">
        <w:rPr>
          <w:iCs/>
          <w:sz w:val="22"/>
        </w:rPr>
        <w:t>, w tym  295 to zgody na koncentrację, 4 decyzje warunkowe oraz jeden zakaz.</w:t>
      </w:r>
      <w:r w:rsidR="00E64E95">
        <w:rPr>
          <w:iCs/>
          <w:sz w:val="22"/>
        </w:rPr>
        <w:t xml:space="preserve"> </w:t>
      </w:r>
      <w:r w:rsidR="00643BC8" w:rsidRPr="00E64E95">
        <w:rPr>
          <w:sz w:val="22"/>
        </w:rPr>
        <w:t>W 202</w:t>
      </w:r>
      <w:r w:rsidR="00CD00F4" w:rsidRPr="00E64E95">
        <w:rPr>
          <w:sz w:val="22"/>
        </w:rPr>
        <w:t>1</w:t>
      </w:r>
      <w:r w:rsidRPr="00E64E95">
        <w:rPr>
          <w:sz w:val="22"/>
        </w:rPr>
        <w:t xml:space="preserve"> r</w:t>
      </w:r>
      <w:r w:rsidR="00E64E95">
        <w:rPr>
          <w:sz w:val="22"/>
        </w:rPr>
        <w:t>.</w:t>
      </w:r>
      <w:r w:rsidRPr="00E64E95">
        <w:rPr>
          <w:sz w:val="22"/>
        </w:rPr>
        <w:t xml:space="preserve"> </w:t>
      </w:r>
      <w:r w:rsidR="000A7ECF" w:rsidRPr="00E64E95">
        <w:rPr>
          <w:sz w:val="22"/>
        </w:rPr>
        <w:t>Prezes Urzędu</w:t>
      </w:r>
      <w:r w:rsidRPr="00E64E95">
        <w:rPr>
          <w:sz w:val="22"/>
        </w:rPr>
        <w:t xml:space="preserve"> </w:t>
      </w:r>
      <w:r w:rsidRPr="00E64E95">
        <w:rPr>
          <w:b/>
          <w:sz w:val="22"/>
        </w:rPr>
        <w:t xml:space="preserve">wszczął </w:t>
      </w:r>
      <w:r w:rsidR="00E64E95" w:rsidRPr="00E64E95">
        <w:rPr>
          <w:b/>
          <w:bCs/>
          <w:sz w:val="22"/>
        </w:rPr>
        <w:t>329</w:t>
      </w:r>
      <w:r w:rsidR="00E96910" w:rsidRPr="00E64E95">
        <w:rPr>
          <w:b/>
          <w:bCs/>
          <w:sz w:val="22"/>
        </w:rPr>
        <w:t xml:space="preserve"> </w:t>
      </w:r>
      <w:r w:rsidRPr="00E64E95">
        <w:rPr>
          <w:b/>
          <w:sz w:val="22"/>
        </w:rPr>
        <w:lastRenderedPageBreak/>
        <w:t>postępowa</w:t>
      </w:r>
      <w:r w:rsidR="00E64E95" w:rsidRPr="00E64E95">
        <w:rPr>
          <w:b/>
          <w:sz w:val="22"/>
        </w:rPr>
        <w:t>ń</w:t>
      </w:r>
      <w:r w:rsidRPr="00E64E95">
        <w:rPr>
          <w:sz w:val="22"/>
        </w:rPr>
        <w:t>, w których sprawdzał</w:t>
      </w:r>
      <w:r w:rsidR="00815D4B" w:rsidRPr="00E64E95">
        <w:rPr>
          <w:sz w:val="22"/>
        </w:rPr>
        <w:t>,</w:t>
      </w:r>
      <w:r w:rsidRPr="00E64E95">
        <w:rPr>
          <w:sz w:val="22"/>
        </w:rPr>
        <w:t xml:space="preserve"> czy fuzje i przejęcia nie wpłyną negatywnie na </w:t>
      </w:r>
      <w:r w:rsidR="00643BC8" w:rsidRPr="00E64E95">
        <w:rPr>
          <w:sz w:val="22"/>
        </w:rPr>
        <w:t>konkurencję</w:t>
      </w:r>
      <w:r w:rsidRPr="00E64E95">
        <w:rPr>
          <w:sz w:val="22"/>
        </w:rPr>
        <w:t>.</w:t>
      </w:r>
      <w:r w:rsidR="00E64E95">
        <w:rPr>
          <w:b/>
          <w:bCs/>
          <w:sz w:val="22"/>
        </w:rPr>
        <w:t xml:space="preserve"> </w:t>
      </w:r>
    </w:p>
    <w:p w14:paraId="398EFAF2" w14:textId="78D69311" w:rsidR="00D22A18" w:rsidRPr="00A81210" w:rsidRDefault="00D22A18" w:rsidP="001C05C9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A81210">
        <w:rPr>
          <w:rFonts w:cs="Tahoma"/>
          <w:color w:val="000000" w:themeColor="text1"/>
          <w:sz w:val="22"/>
          <w:shd w:val="clear" w:color="auto" w:fill="FFFFFF"/>
        </w:rPr>
        <w:t>Prezes U</w:t>
      </w:r>
      <w:r w:rsidR="009C2AD5">
        <w:rPr>
          <w:rFonts w:cs="Tahoma"/>
          <w:color w:val="000000" w:themeColor="text1"/>
          <w:sz w:val="22"/>
          <w:shd w:val="clear" w:color="auto" w:fill="FFFFFF"/>
        </w:rPr>
        <w:t>rzędu</w:t>
      </w:r>
      <w:r w:rsidRPr="00A81210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6302D4" w:rsidRPr="00A81210">
        <w:rPr>
          <w:rFonts w:cs="Tahoma"/>
          <w:color w:val="000000" w:themeColor="text1"/>
          <w:sz w:val="22"/>
          <w:shd w:val="clear" w:color="auto" w:fill="FFFFFF"/>
        </w:rPr>
        <w:t xml:space="preserve">wszczął ponadto </w:t>
      </w:r>
      <w:r w:rsidR="006302D4" w:rsidRPr="00A81210">
        <w:rPr>
          <w:rFonts w:cs="Tahoma"/>
          <w:b/>
          <w:color w:val="000000" w:themeColor="text1"/>
          <w:sz w:val="22"/>
          <w:shd w:val="clear" w:color="auto" w:fill="FFFFFF"/>
        </w:rPr>
        <w:t xml:space="preserve">osiem postępowań </w:t>
      </w:r>
      <w:r w:rsidRPr="00A81210">
        <w:rPr>
          <w:rFonts w:cs="Tahoma"/>
          <w:b/>
          <w:color w:val="000000" w:themeColor="text1"/>
          <w:sz w:val="22"/>
          <w:shd w:val="clear" w:color="auto" w:fill="FFFFFF"/>
        </w:rPr>
        <w:t xml:space="preserve">z </w:t>
      </w:r>
      <w:r w:rsidR="006302D4" w:rsidRPr="00A81210">
        <w:rPr>
          <w:rFonts w:cs="Tahoma"/>
          <w:b/>
          <w:color w:val="000000" w:themeColor="text1"/>
          <w:sz w:val="22"/>
          <w:shd w:val="clear" w:color="auto" w:fill="FFFFFF"/>
        </w:rPr>
        <w:t>zakresu kontroli inwestycji</w:t>
      </w:r>
      <w:r w:rsidR="006302D4" w:rsidRPr="00A81210">
        <w:rPr>
          <w:rFonts w:cs="Tahoma"/>
          <w:color w:val="000000" w:themeColor="text1"/>
          <w:sz w:val="22"/>
          <w:shd w:val="clear" w:color="auto" w:fill="FFFFFF"/>
        </w:rPr>
        <w:t>. Wydał</w:t>
      </w:r>
      <w:r w:rsidRPr="00A81210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Pr="00A81210">
        <w:rPr>
          <w:rFonts w:cs="Tahoma"/>
          <w:b/>
          <w:color w:val="000000" w:themeColor="text1"/>
          <w:sz w:val="22"/>
          <w:shd w:val="clear" w:color="auto" w:fill="FFFFFF"/>
        </w:rPr>
        <w:t>trzy decyzje</w:t>
      </w:r>
      <w:r w:rsidRPr="00A81210">
        <w:rPr>
          <w:rFonts w:cs="Tahoma"/>
          <w:color w:val="000000" w:themeColor="text1"/>
          <w:sz w:val="22"/>
          <w:shd w:val="clear" w:color="auto" w:fill="FFFFFF"/>
        </w:rPr>
        <w:t xml:space="preserve">, w dwóch przypadkach nie </w:t>
      </w:r>
      <w:r w:rsidR="006302D4" w:rsidRPr="00A81210">
        <w:rPr>
          <w:rFonts w:cs="Tahoma"/>
          <w:color w:val="000000" w:themeColor="text1"/>
          <w:sz w:val="22"/>
          <w:shd w:val="clear" w:color="auto" w:fill="FFFFFF"/>
        </w:rPr>
        <w:t xml:space="preserve">zgłosił sprzeciwu do transakcji. </w:t>
      </w:r>
      <w:r w:rsidRPr="00A81210">
        <w:rPr>
          <w:rFonts w:cs="Tahoma"/>
          <w:color w:val="000000" w:themeColor="text1"/>
          <w:sz w:val="22"/>
          <w:shd w:val="clear" w:color="auto" w:fill="FFFFFF"/>
        </w:rPr>
        <w:t xml:space="preserve">Jedna decyzja dotyczyła umorzenia postępowania. </w:t>
      </w:r>
    </w:p>
    <w:p w14:paraId="32B62A86" w14:textId="77777777" w:rsidR="001C05C9" w:rsidRPr="00A541F5" w:rsidRDefault="001C05C9" w:rsidP="001C05C9">
      <w:pPr>
        <w:spacing w:after="240" w:line="360" w:lineRule="auto"/>
        <w:jc w:val="both"/>
        <w:rPr>
          <w:sz w:val="22"/>
        </w:rPr>
      </w:pPr>
      <w:r w:rsidRPr="00A541F5">
        <w:rPr>
          <w:b/>
          <w:bCs/>
          <w:sz w:val="22"/>
        </w:rPr>
        <w:t>Pomoc publiczna</w:t>
      </w:r>
    </w:p>
    <w:p w14:paraId="39F6C262" w14:textId="3785B44B" w:rsidR="00C0769C" w:rsidRPr="00497CC5" w:rsidRDefault="00682223" w:rsidP="00497CC5">
      <w:pPr>
        <w:spacing w:after="240" w:line="360" w:lineRule="auto"/>
        <w:jc w:val="both"/>
        <w:rPr>
          <w:sz w:val="22"/>
        </w:rPr>
      </w:pPr>
      <w:r w:rsidRPr="00682223">
        <w:rPr>
          <w:sz w:val="22"/>
        </w:rPr>
        <w:t xml:space="preserve">Pomoc publiczna jest ingerencją państwa w mechanizmy wolnego rynku, dlatego stosowana jest w ograniczonym zakresie. UOKiK </w:t>
      </w:r>
      <w:hyperlink r:id="rId13" w:history="1">
        <w:r w:rsidRPr="00C0769C">
          <w:rPr>
            <w:rStyle w:val="Hipercze"/>
            <w:sz w:val="22"/>
          </w:rPr>
          <w:t>wstępnie ocenia wsparcie indywidualne i programy pomocowe</w:t>
        </w:r>
      </w:hyperlink>
      <w:r w:rsidRPr="00682223">
        <w:rPr>
          <w:sz w:val="22"/>
        </w:rPr>
        <w:t xml:space="preserve"> pod kątem zgodności z prawem unijnym oraz</w:t>
      </w:r>
      <w:r>
        <w:rPr>
          <w:rFonts w:ascii="Tahoma" w:hAnsi="Tahoma" w:cs="Tahoma"/>
          <w:color w:val="3C4147"/>
          <w:szCs w:val="18"/>
          <w:shd w:val="clear" w:color="auto" w:fill="FFFFFF"/>
        </w:rPr>
        <w:t xml:space="preserve"> </w:t>
      </w:r>
      <w:hyperlink r:id="rId14" w:history="1">
        <w:r w:rsidRPr="00682223">
          <w:rPr>
            <w:rStyle w:val="Hipercze"/>
            <w:iCs/>
            <w:sz w:val="22"/>
          </w:rPr>
          <w:t>monitoruje pomoc publiczną</w:t>
        </w:r>
      </w:hyperlink>
      <w:r w:rsidR="00497CC5" w:rsidRPr="00497CC5">
        <w:rPr>
          <w:sz w:val="22"/>
        </w:rPr>
        <w:t>, czyli wsparcie udzielone</w:t>
      </w:r>
      <w:r w:rsidR="00497CC5">
        <w:rPr>
          <w:sz w:val="22"/>
        </w:rPr>
        <w:t xml:space="preserve"> </w:t>
      </w:r>
      <w:r w:rsidR="00497CC5" w:rsidRPr="00497CC5">
        <w:rPr>
          <w:sz w:val="22"/>
        </w:rPr>
        <w:t>przedsiębiorcom w Polsce</w:t>
      </w:r>
      <w:r w:rsidR="00497CC5">
        <w:rPr>
          <w:sz w:val="22"/>
        </w:rPr>
        <w:t>.</w:t>
      </w:r>
      <w:r>
        <w:rPr>
          <w:sz w:val="22"/>
        </w:rPr>
        <w:t xml:space="preserve"> </w:t>
      </w:r>
      <w:r w:rsidRPr="00682223">
        <w:rPr>
          <w:sz w:val="22"/>
        </w:rPr>
        <w:t>W 20</w:t>
      </w:r>
      <w:r>
        <w:rPr>
          <w:sz w:val="22"/>
        </w:rPr>
        <w:t>21</w:t>
      </w:r>
      <w:r w:rsidRPr="00682223">
        <w:rPr>
          <w:sz w:val="22"/>
        </w:rPr>
        <w:t xml:space="preserve"> roku Urząd </w:t>
      </w:r>
      <w:r w:rsidRPr="004F5944">
        <w:rPr>
          <w:b/>
          <w:sz w:val="22"/>
        </w:rPr>
        <w:t xml:space="preserve">zaopiniował </w:t>
      </w:r>
      <w:r w:rsidR="00783417" w:rsidRPr="004F5944">
        <w:rPr>
          <w:b/>
          <w:sz w:val="22"/>
        </w:rPr>
        <w:t>42</w:t>
      </w:r>
      <w:r w:rsidRPr="004F5944">
        <w:rPr>
          <w:b/>
          <w:sz w:val="22"/>
        </w:rPr>
        <w:t xml:space="preserve"> projekt</w:t>
      </w:r>
      <w:r w:rsidR="00783417" w:rsidRPr="004F5944">
        <w:rPr>
          <w:b/>
          <w:sz w:val="22"/>
        </w:rPr>
        <w:t>y</w:t>
      </w:r>
      <w:r w:rsidRPr="004F5944">
        <w:rPr>
          <w:b/>
          <w:sz w:val="22"/>
        </w:rPr>
        <w:t xml:space="preserve"> </w:t>
      </w:r>
      <w:r w:rsidR="004F5944" w:rsidRPr="004F5944">
        <w:rPr>
          <w:sz w:val="22"/>
        </w:rPr>
        <w:t>dotyczące programów pomocowych</w:t>
      </w:r>
      <w:r w:rsidR="00A81210">
        <w:rPr>
          <w:sz w:val="22"/>
        </w:rPr>
        <w:t xml:space="preserve"> i </w:t>
      </w:r>
      <w:r w:rsidRPr="004F5944">
        <w:rPr>
          <w:sz w:val="22"/>
        </w:rPr>
        <w:t xml:space="preserve">pomocy </w:t>
      </w:r>
      <w:r w:rsidR="004F5944" w:rsidRPr="004F5944">
        <w:rPr>
          <w:sz w:val="22"/>
        </w:rPr>
        <w:t>indywidualnej</w:t>
      </w:r>
      <w:r w:rsidR="00DB722D">
        <w:rPr>
          <w:sz w:val="22"/>
        </w:rPr>
        <w:t xml:space="preserve"> (w tym na restrukturyzację)</w:t>
      </w:r>
      <w:r w:rsidR="004F5944">
        <w:rPr>
          <w:sz w:val="22"/>
        </w:rPr>
        <w:t>.</w:t>
      </w:r>
      <w:r w:rsidRPr="00682223">
        <w:rPr>
          <w:sz w:val="22"/>
        </w:rPr>
        <w:t xml:space="preserve"> Do UOKiK</w:t>
      </w:r>
      <w:r w:rsidR="004F5944">
        <w:rPr>
          <w:sz w:val="22"/>
        </w:rPr>
        <w:t xml:space="preserve"> </w:t>
      </w:r>
      <w:r w:rsidRPr="00682223">
        <w:rPr>
          <w:b/>
          <w:bCs/>
          <w:sz w:val="22"/>
        </w:rPr>
        <w:t>wpłynęły</w:t>
      </w:r>
      <w:r w:rsidR="004F5944">
        <w:rPr>
          <w:sz w:val="22"/>
        </w:rPr>
        <w:t xml:space="preserve"> </w:t>
      </w:r>
      <w:r w:rsidR="004F5944">
        <w:rPr>
          <w:b/>
          <w:bCs/>
          <w:sz w:val="22"/>
        </w:rPr>
        <w:t>684</w:t>
      </w:r>
      <w:r w:rsidRPr="00682223">
        <w:rPr>
          <w:b/>
          <w:bCs/>
          <w:sz w:val="22"/>
        </w:rPr>
        <w:t xml:space="preserve"> wnioski o dokonanie interpretacji i </w:t>
      </w:r>
      <w:r w:rsidR="004F5944">
        <w:rPr>
          <w:b/>
          <w:bCs/>
          <w:sz w:val="22"/>
        </w:rPr>
        <w:t>561</w:t>
      </w:r>
      <w:r w:rsidRPr="00682223">
        <w:rPr>
          <w:b/>
          <w:bCs/>
          <w:sz w:val="22"/>
        </w:rPr>
        <w:t xml:space="preserve"> projektów </w:t>
      </w:r>
      <w:r w:rsidR="00497CC5">
        <w:rPr>
          <w:b/>
          <w:bCs/>
          <w:sz w:val="22"/>
        </w:rPr>
        <w:t xml:space="preserve">dokumentów rządowych do </w:t>
      </w:r>
      <w:r w:rsidR="00497CC5" w:rsidRPr="00497CC5">
        <w:rPr>
          <w:sz w:val="22"/>
        </w:rPr>
        <w:t xml:space="preserve">analizy </w:t>
      </w:r>
      <w:r w:rsidR="00C0769C" w:rsidRPr="00497CC5">
        <w:rPr>
          <w:sz w:val="22"/>
        </w:rPr>
        <w:t xml:space="preserve">pod kątem możliwości wystąpienia pomocy publicznej. Ponadto do Urzędu zgłoszono </w:t>
      </w:r>
      <w:r w:rsidR="00C0769C" w:rsidRPr="00497CC5">
        <w:rPr>
          <w:b/>
          <w:sz w:val="22"/>
        </w:rPr>
        <w:t>158</w:t>
      </w:r>
      <w:r w:rsidR="00067777">
        <w:rPr>
          <w:b/>
          <w:sz w:val="22"/>
        </w:rPr>
        <w:t>4</w:t>
      </w:r>
      <w:r w:rsidR="00C0769C" w:rsidRPr="00497CC5">
        <w:rPr>
          <w:b/>
          <w:sz w:val="22"/>
        </w:rPr>
        <w:t xml:space="preserve"> projekty programów de minimis</w:t>
      </w:r>
      <w:r w:rsidR="00C0769C" w:rsidRPr="00497CC5">
        <w:rPr>
          <w:sz w:val="22"/>
        </w:rPr>
        <w:t>, które UOKiK ocen</w:t>
      </w:r>
      <w:r w:rsidR="00497CC5" w:rsidRPr="00497CC5">
        <w:rPr>
          <w:sz w:val="22"/>
        </w:rPr>
        <w:t xml:space="preserve">iał pod względem przejrzystości </w:t>
      </w:r>
      <w:r w:rsidR="00C0769C" w:rsidRPr="00497CC5">
        <w:rPr>
          <w:sz w:val="22"/>
        </w:rPr>
        <w:t>zasad udzielania pomocy.</w:t>
      </w:r>
    </w:p>
    <w:p w14:paraId="22935149" w14:textId="7BB7D86B" w:rsidR="00A541F5" w:rsidRDefault="00A541F5" w:rsidP="00A541F5">
      <w:pPr>
        <w:spacing w:after="240" w:line="360" w:lineRule="auto"/>
        <w:jc w:val="both"/>
        <w:rPr>
          <w:b/>
          <w:sz w:val="22"/>
        </w:rPr>
      </w:pPr>
      <w:r>
        <w:rPr>
          <w:sz w:val="22"/>
        </w:rPr>
        <w:t>Prezes UOKiK n</w:t>
      </w:r>
      <w:r w:rsidRPr="00682223">
        <w:rPr>
          <w:sz w:val="22"/>
        </w:rPr>
        <w:t xml:space="preserve">otyfikował </w:t>
      </w:r>
      <w:r>
        <w:rPr>
          <w:sz w:val="22"/>
        </w:rPr>
        <w:t xml:space="preserve">w 2021 r. </w:t>
      </w:r>
      <w:r w:rsidRPr="004F5944">
        <w:rPr>
          <w:sz w:val="22"/>
        </w:rPr>
        <w:t xml:space="preserve">Komisji Europejskiej </w:t>
      </w:r>
      <w:r w:rsidRPr="004F5944">
        <w:rPr>
          <w:b/>
          <w:sz w:val="22"/>
        </w:rPr>
        <w:t>32 projekty przewidujące udzielenie pomocy publicznej</w:t>
      </w:r>
      <w:r w:rsidRPr="004F5944">
        <w:rPr>
          <w:sz w:val="22"/>
        </w:rPr>
        <w:t>, w tym 25 programów pomocowych i 7 dotyczących pomocy indywidualnej</w:t>
      </w:r>
      <w:r w:rsidR="00DB722D">
        <w:rPr>
          <w:sz w:val="22"/>
        </w:rPr>
        <w:t xml:space="preserve"> (w tym na restrukturyzację)</w:t>
      </w:r>
      <w:r w:rsidRPr="004F5944">
        <w:rPr>
          <w:sz w:val="22"/>
        </w:rPr>
        <w:t xml:space="preserve">. </w:t>
      </w:r>
      <w:r>
        <w:rPr>
          <w:sz w:val="22"/>
        </w:rPr>
        <w:t>Było wśród nich</w:t>
      </w:r>
      <w:r w:rsidRPr="00A541F5">
        <w:rPr>
          <w:sz w:val="22"/>
        </w:rPr>
        <w:t xml:space="preserve"> 19 postępowań notyfikacyjnych w zakresie spraw związanych z przeciwdziałaniem negatywnym skutkom pandemii COVID-19, przy czym 5 z nich dotyczyło kolejnych wersji tzw. tarczy antykryzysowej.</w:t>
      </w:r>
      <w:r>
        <w:rPr>
          <w:sz w:val="22"/>
        </w:rPr>
        <w:t xml:space="preserve"> </w:t>
      </w:r>
      <w:r w:rsidRPr="00A541F5">
        <w:rPr>
          <w:sz w:val="22"/>
        </w:rPr>
        <w:t xml:space="preserve">KE zaakceptowała </w:t>
      </w:r>
      <w:r w:rsidRPr="004F5944">
        <w:rPr>
          <w:b/>
          <w:sz w:val="22"/>
        </w:rPr>
        <w:t>30 projektów pomocowych.</w:t>
      </w:r>
    </w:p>
    <w:p w14:paraId="479200CB" w14:textId="38D58C1F" w:rsidR="00497CC5" w:rsidRPr="00497CC5" w:rsidRDefault="00497CC5" w:rsidP="00497C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2021 r. </w:t>
      </w:r>
      <w:r w:rsidRPr="00497CC5">
        <w:rPr>
          <w:sz w:val="22"/>
        </w:rPr>
        <w:t>UOKiK koordynował również proces konsultacji i</w:t>
      </w:r>
      <w:r>
        <w:rPr>
          <w:sz w:val="22"/>
        </w:rPr>
        <w:t xml:space="preserve"> </w:t>
      </w:r>
      <w:r w:rsidRPr="00497CC5">
        <w:rPr>
          <w:sz w:val="22"/>
        </w:rPr>
        <w:t>przygotowania</w:t>
      </w:r>
      <w:r>
        <w:rPr>
          <w:sz w:val="22"/>
        </w:rPr>
        <w:t xml:space="preserve"> </w:t>
      </w:r>
      <w:r w:rsidRPr="00497CC5">
        <w:rPr>
          <w:sz w:val="22"/>
        </w:rPr>
        <w:t xml:space="preserve">stanowisk Polski do </w:t>
      </w:r>
      <w:r w:rsidRPr="00497CC5">
        <w:rPr>
          <w:b/>
          <w:sz w:val="22"/>
        </w:rPr>
        <w:t>7 projektów</w:t>
      </w:r>
      <w:r w:rsidRPr="00497CC5">
        <w:rPr>
          <w:sz w:val="22"/>
        </w:rPr>
        <w:t xml:space="preserve"> dokumentów unijnych w zakresie pomocy publicznej.</w:t>
      </w:r>
    </w:p>
    <w:p w14:paraId="18C60329" w14:textId="77777777" w:rsidR="00A541F5" w:rsidRPr="00A541F5" w:rsidRDefault="00AE66CE" w:rsidP="00A541F5">
      <w:pPr>
        <w:spacing w:after="240" w:line="360" w:lineRule="auto"/>
        <w:jc w:val="both"/>
        <w:rPr>
          <w:sz w:val="22"/>
        </w:rPr>
      </w:pPr>
      <w:r w:rsidRPr="00A541F5">
        <w:rPr>
          <w:b/>
          <w:sz w:val="22"/>
        </w:rPr>
        <w:t>Przewaga kontraktowa</w:t>
      </w:r>
    </w:p>
    <w:p w14:paraId="6C80747E" w14:textId="7B41DD29" w:rsidR="00AE66CE" w:rsidRPr="00A541F5" w:rsidRDefault="005B049A" w:rsidP="00A541F5">
      <w:pPr>
        <w:spacing w:after="240" w:line="360" w:lineRule="auto"/>
        <w:jc w:val="both"/>
        <w:rPr>
          <w:sz w:val="22"/>
        </w:rPr>
      </w:pPr>
      <w:r w:rsidRPr="00A541F5">
        <w:rPr>
          <w:sz w:val="22"/>
        </w:rPr>
        <w:t xml:space="preserve">W </w:t>
      </w:r>
      <w:r w:rsidR="00E92570" w:rsidRPr="00A541F5">
        <w:rPr>
          <w:sz w:val="22"/>
        </w:rPr>
        <w:t>202</w:t>
      </w:r>
      <w:r w:rsidR="00A541F5" w:rsidRPr="00A541F5">
        <w:rPr>
          <w:sz w:val="22"/>
        </w:rPr>
        <w:t>1</w:t>
      </w:r>
      <w:r w:rsidR="00E92570" w:rsidRPr="00A541F5">
        <w:rPr>
          <w:sz w:val="22"/>
        </w:rPr>
        <w:t xml:space="preserve"> rok</w:t>
      </w:r>
      <w:r w:rsidRPr="00A541F5">
        <w:rPr>
          <w:sz w:val="22"/>
        </w:rPr>
        <w:t xml:space="preserve">u Prezes UOKiK wydał </w:t>
      </w:r>
      <w:r w:rsidR="00A541F5" w:rsidRPr="00A541F5">
        <w:rPr>
          <w:b/>
          <w:sz w:val="22"/>
        </w:rPr>
        <w:t>3</w:t>
      </w:r>
      <w:r w:rsidRPr="00A541F5">
        <w:rPr>
          <w:b/>
          <w:sz w:val="22"/>
        </w:rPr>
        <w:t xml:space="preserve"> decyzj</w:t>
      </w:r>
      <w:r w:rsidR="00A541F5" w:rsidRPr="00A541F5">
        <w:rPr>
          <w:b/>
          <w:sz w:val="22"/>
        </w:rPr>
        <w:t>e</w:t>
      </w:r>
      <w:r w:rsidRPr="00A541F5">
        <w:rPr>
          <w:sz w:val="22"/>
        </w:rPr>
        <w:t xml:space="preserve"> </w:t>
      </w:r>
      <w:r w:rsidR="00212019" w:rsidRPr="00A541F5">
        <w:rPr>
          <w:sz w:val="22"/>
        </w:rPr>
        <w:t>dotycząc</w:t>
      </w:r>
      <w:r w:rsidR="00212019">
        <w:rPr>
          <w:sz w:val="22"/>
        </w:rPr>
        <w:t>e</w:t>
      </w:r>
      <w:r w:rsidR="00212019" w:rsidRPr="00A541F5">
        <w:rPr>
          <w:sz w:val="22"/>
        </w:rPr>
        <w:t xml:space="preserve"> </w:t>
      </w:r>
      <w:r w:rsidR="00983D7C" w:rsidRPr="00A541F5">
        <w:rPr>
          <w:sz w:val="22"/>
        </w:rPr>
        <w:t>nieuczciwego wykorzystywania</w:t>
      </w:r>
      <w:r w:rsidR="00AE66CE" w:rsidRPr="00A541F5">
        <w:rPr>
          <w:sz w:val="22"/>
        </w:rPr>
        <w:t xml:space="preserve"> przewagi kontraktowej</w:t>
      </w:r>
      <w:r w:rsidR="00983D7C" w:rsidRPr="00A541F5">
        <w:rPr>
          <w:sz w:val="22"/>
        </w:rPr>
        <w:t xml:space="preserve"> w obrocie produktami roln</w:t>
      </w:r>
      <w:r w:rsidRPr="00A541F5">
        <w:rPr>
          <w:sz w:val="22"/>
        </w:rPr>
        <w:t>o-s</w:t>
      </w:r>
      <w:r w:rsidR="00983D7C" w:rsidRPr="00A541F5">
        <w:rPr>
          <w:sz w:val="22"/>
        </w:rPr>
        <w:t>pożywczymi</w:t>
      </w:r>
      <w:r w:rsidR="00DB722D">
        <w:rPr>
          <w:sz w:val="22"/>
        </w:rPr>
        <w:t xml:space="preserve">, </w:t>
      </w:r>
      <w:hyperlink r:id="rId15" w:history="1">
        <w:r w:rsidR="00DB722D" w:rsidRPr="00DB722D">
          <w:rPr>
            <w:rStyle w:val="Hipercze"/>
            <w:sz w:val="22"/>
          </w:rPr>
          <w:t>w tym jedną zobowiązującą</w:t>
        </w:r>
      </w:hyperlink>
      <w:r w:rsidR="00AE66CE" w:rsidRPr="00A541F5">
        <w:rPr>
          <w:sz w:val="22"/>
        </w:rPr>
        <w:t xml:space="preserve">. </w:t>
      </w:r>
      <w:r w:rsidR="00E71F4A" w:rsidRPr="00A541F5">
        <w:rPr>
          <w:sz w:val="22"/>
        </w:rPr>
        <w:t>Wszcz</w:t>
      </w:r>
      <w:r w:rsidR="001A53D4" w:rsidRPr="00A541F5">
        <w:rPr>
          <w:sz w:val="22"/>
        </w:rPr>
        <w:t xml:space="preserve">ął </w:t>
      </w:r>
      <w:r w:rsidR="00A541F5">
        <w:rPr>
          <w:sz w:val="22"/>
        </w:rPr>
        <w:t>5</w:t>
      </w:r>
      <w:r w:rsidR="003D4CB5" w:rsidRPr="00A541F5">
        <w:rPr>
          <w:sz w:val="22"/>
        </w:rPr>
        <w:t xml:space="preserve"> postępowań wyjaśniających</w:t>
      </w:r>
      <w:r w:rsidR="00565244" w:rsidRPr="00A541F5">
        <w:rPr>
          <w:sz w:val="22"/>
        </w:rPr>
        <w:t xml:space="preserve"> </w:t>
      </w:r>
      <w:r w:rsidR="003D4CB5" w:rsidRPr="00A541F5">
        <w:rPr>
          <w:sz w:val="22"/>
        </w:rPr>
        <w:t>oraz</w:t>
      </w:r>
      <w:r w:rsidR="00565244" w:rsidRPr="00A541F5">
        <w:rPr>
          <w:sz w:val="22"/>
        </w:rPr>
        <w:t xml:space="preserve"> </w:t>
      </w:r>
      <w:r w:rsidR="00A541F5">
        <w:rPr>
          <w:sz w:val="22"/>
        </w:rPr>
        <w:t>3</w:t>
      </w:r>
      <w:r w:rsidRPr="00A541F5">
        <w:rPr>
          <w:sz w:val="22"/>
        </w:rPr>
        <w:t xml:space="preserve"> </w:t>
      </w:r>
      <w:r w:rsidR="003D4CB5" w:rsidRPr="00A541F5">
        <w:rPr>
          <w:sz w:val="22"/>
        </w:rPr>
        <w:t>właściw</w:t>
      </w:r>
      <w:r w:rsidR="00A541F5">
        <w:rPr>
          <w:sz w:val="22"/>
        </w:rPr>
        <w:t>e</w:t>
      </w:r>
      <w:r w:rsidR="00E92570" w:rsidRPr="00A541F5">
        <w:rPr>
          <w:sz w:val="22"/>
        </w:rPr>
        <w:t xml:space="preserve">. </w:t>
      </w:r>
      <w:r w:rsidR="003D4CB5" w:rsidRPr="00A541F5">
        <w:rPr>
          <w:sz w:val="22"/>
        </w:rPr>
        <w:t xml:space="preserve">Ponadto skierował </w:t>
      </w:r>
      <w:r w:rsidR="00A541F5">
        <w:rPr>
          <w:sz w:val="22"/>
        </w:rPr>
        <w:t>8</w:t>
      </w:r>
      <w:r w:rsidR="00572A38" w:rsidRPr="00A541F5">
        <w:rPr>
          <w:sz w:val="22"/>
        </w:rPr>
        <w:t xml:space="preserve"> </w:t>
      </w:r>
      <w:r w:rsidR="00565244" w:rsidRPr="00A541F5">
        <w:rPr>
          <w:sz w:val="22"/>
        </w:rPr>
        <w:t>wystąpień miękkich do przedsiębiorców.</w:t>
      </w:r>
    </w:p>
    <w:p w14:paraId="5F514F94" w14:textId="41DE1465" w:rsidR="00204A61" w:rsidRDefault="00572A38" w:rsidP="003D676B">
      <w:pPr>
        <w:spacing w:after="240" w:line="360" w:lineRule="auto"/>
        <w:jc w:val="both"/>
        <w:rPr>
          <w:sz w:val="22"/>
        </w:rPr>
      </w:pPr>
      <w:r w:rsidRPr="00A541F5">
        <w:rPr>
          <w:sz w:val="22"/>
        </w:rPr>
        <w:lastRenderedPageBreak/>
        <w:t xml:space="preserve">Łączne kary za nieuczciwe wykorzystywanie </w:t>
      </w:r>
      <w:r w:rsidR="00204A61" w:rsidRPr="00A541F5">
        <w:rPr>
          <w:sz w:val="22"/>
        </w:rPr>
        <w:t>przewagi kontraktowej wyniosły</w:t>
      </w:r>
      <w:r w:rsidR="00E92570" w:rsidRPr="00A541F5">
        <w:rPr>
          <w:sz w:val="22"/>
        </w:rPr>
        <w:t xml:space="preserve"> </w:t>
      </w:r>
      <w:r w:rsidR="00A541F5" w:rsidRPr="00A541F5">
        <w:rPr>
          <w:b/>
          <w:sz w:val="22"/>
        </w:rPr>
        <w:t>ponad 200</w:t>
      </w:r>
      <w:r w:rsidR="00E92570" w:rsidRPr="00A541F5">
        <w:rPr>
          <w:b/>
          <w:sz w:val="22"/>
        </w:rPr>
        <w:t xml:space="preserve"> mln zł</w:t>
      </w:r>
      <w:r w:rsidR="00204A61" w:rsidRPr="00A541F5">
        <w:rPr>
          <w:sz w:val="22"/>
        </w:rPr>
        <w:t>. Największa z nich –</w:t>
      </w:r>
      <w:r w:rsidR="001C05C9" w:rsidRPr="00A541F5">
        <w:rPr>
          <w:sz w:val="22"/>
        </w:rPr>
        <w:t xml:space="preserve"> </w:t>
      </w:r>
      <w:r w:rsidR="00A541F5">
        <w:rPr>
          <w:sz w:val="22"/>
        </w:rPr>
        <w:t>blisko</w:t>
      </w:r>
      <w:r w:rsidR="00204A61" w:rsidRPr="00A541F5">
        <w:rPr>
          <w:sz w:val="22"/>
        </w:rPr>
        <w:t xml:space="preserve"> </w:t>
      </w:r>
      <w:r w:rsidR="00A541F5">
        <w:rPr>
          <w:sz w:val="22"/>
        </w:rPr>
        <w:t>124</w:t>
      </w:r>
      <w:r w:rsidR="00167E24" w:rsidRPr="00A541F5">
        <w:rPr>
          <w:sz w:val="22"/>
        </w:rPr>
        <w:t xml:space="preserve"> </w:t>
      </w:r>
      <w:r w:rsidR="00204A61" w:rsidRPr="00A541F5">
        <w:rPr>
          <w:sz w:val="22"/>
        </w:rPr>
        <w:t xml:space="preserve">mln zł  - </w:t>
      </w:r>
      <w:hyperlink r:id="rId16" w:history="1">
        <w:r w:rsidR="00204A61" w:rsidRPr="00320AD6">
          <w:rPr>
            <w:rStyle w:val="Hipercze"/>
            <w:sz w:val="22"/>
          </w:rPr>
          <w:t xml:space="preserve">dotyczyła </w:t>
        </w:r>
        <w:r w:rsidR="00320AD6" w:rsidRPr="00320AD6">
          <w:rPr>
            <w:rStyle w:val="Hipercze"/>
            <w:sz w:val="22"/>
          </w:rPr>
          <w:t>Kaufland</w:t>
        </w:r>
        <w:r w:rsidR="00204A61" w:rsidRPr="00320AD6">
          <w:rPr>
            <w:rStyle w:val="Hipercze"/>
            <w:sz w:val="22"/>
          </w:rPr>
          <w:t xml:space="preserve"> Polska</w:t>
        </w:r>
        <w:r w:rsidR="00320AD6" w:rsidRPr="00320AD6">
          <w:rPr>
            <w:rStyle w:val="Hipercze"/>
            <w:sz w:val="22"/>
          </w:rPr>
          <w:t xml:space="preserve"> Markety</w:t>
        </w:r>
      </w:hyperlink>
      <w:r w:rsidR="00204A61" w:rsidRPr="00A541F5">
        <w:rPr>
          <w:sz w:val="22"/>
        </w:rPr>
        <w:t xml:space="preserve">. Spółka </w:t>
      </w:r>
      <w:r w:rsidR="00320AD6" w:rsidRPr="00320AD6">
        <w:rPr>
          <w:bCs/>
          <w:sz w:val="22"/>
        </w:rPr>
        <w:t>wymagała od dostawców obniżenia ceny produktów rolnych i spożywczych już po ich sprzedaży, nieuczciwie wykorzystując swoją przewagę kontraktową</w:t>
      </w:r>
      <w:r w:rsidR="005B049A" w:rsidRPr="00320AD6">
        <w:rPr>
          <w:sz w:val="22"/>
        </w:rPr>
        <w:t>.</w:t>
      </w:r>
    </w:p>
    <w:p w14:paraId="7FC150F0" w14:textId="32BDB393" w:rsidR="000D0DCB" w:rsidRDefault="000D0DCB" w:rsidP="00573B17">
      <w:pPr>
        <w:shd w:val="clear" w:color="auto" w:fill="FFFFFF"/>
        <w:spacing w:after="240" w:line="360" w:lineRule="auto"/>
        <w:jc w:val="both"/>
        <w:rPr>
          <w:sz w:val="22"/>
        </w:rPr>
      </w:pPr>
      <w:r w:rsidRPr="000D0DCB">
        <w:rPr>
          <w:color w:val="000000" w:themeColor="text1"/>
          <w:sz w:val="22"/>
        </w:rPr>
        <w:t xml:space="preserve">Poza wydanymi decyzjami na uwagę zasługuje m.in. </w:t>
      </w:r>
      <w:hyperlink r:id="rId17" w:history="1">
        <w:r w:rsidRPr="009C2AD5">
          <w:rPr>
            <w:rStyle w:val="Hipercze"/>
            <w:sz w:val="22"/>
          </w:rPr>
          <w:t>raport</w:t>
        </w:r>
      </w:hyperlink>
      <w:r w:rsidRPr="009C2AD5">
        <w:rPr>
          <w:color w:val="000000" w:themeColor="text1"/>
          <w:sz w:val="22"/>
        </w:rPr>
        <w:t xml:space="preserve"> </w:t>
      </w:r>
      <w:r w:rsidRPr="00573B17">
        <w:rPr>
          <w:rFonts w:cs="Tahoma"/>
          <w:bCs/>
          <w:color w:val="000000" w:themeColor="text1"/>
          <w:sz w:val="22"/>
          <w:lang w:eastAsia="pl-PL"/>
        </w:rPr>
        <w:t xml:space="preserve">dotyczący rabatów </w:t>
      </w:r>
      <w:r w:rsidR="00573B17" w:rsidRPr="00573B17">
        <w:rPr>
          <w:rFonts w:cs="Tahoma"/>
          <w:bCs/>
          <w:color w:val="000000" w:themeColor="text1"/>
          <w:sz w:val="22"/>
          <w:lang w:eastAsia="pl-PL"/>
        </w:rPr>
        <w:t>uzyskiwan</w:t>
      </w:r>
      <w:r w:rsidR="00573B17">
        <w:rPr>
          <w:rFonts w:cs="Tahoma"/>
          <w:bCs/>
          <w:color w:val="000000" w:themeColor="text1"/>
          <w:sz w:val="22"/>
          <w:lang w:eastAsia="pl-PL"/>
        </w:rPr>
        <w:t>ych</w:t>
      </w:r>
      <w:r w:rsidR="00573B17" w:rsidRPr="00573B17">
        <w:rPr>
          <w:rFonts w:cs="Tahoma"/>
          <w:bCs/>
          <w:color w:val="000000" w:themeColor="text1"/>
          <w:sz w:val="22"/>
          <w:lang w:eastAsia="pl-PL"/>
        </w:rPr>
        <w:t xml:space="preserve"> </w:t>
      </w:r>
      <w:r w:rsidRPr="00573B17">
        <w:rPr>
          <w:rFonts w:cs="Tahoma"/>
          <w:bCs/>
          <w:color w:val="000000" w:themeColor="text1"/>
          <w:sz w:val="22"/>
          <w:lang w:eastAsia="pl-PL"/>
        </w:rPr>
        <w:t>przez duże sieci handlowe od dostawców produktów rolno-spożywczych.</w:t>
      </w:r>
      <w:r w:rsidRPr="000D0DCB">
        <w:rPr>
          <w:rFonts w:cs="Tahoma"/>
          <w:color w:val="000000" w:themeColor="text1"/>
          <w:sz w:val="22"/>
          <w:lang w:eastAsia="pl-PL"/>
        </w:rPr>
        <w:t xml:space="preserve"> </w:t>
      </w:r>
    </w:p>
    <w:p w14:paraId="1E277E56" w14:textId="58A6D49B" w:rsidR="000D0DCB" w:rsidRPr="00573B17" w:rsidRDefault="006302D4" w:rsidP="000D0DCB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573B17">
        <w:rPr>
          <w:rFonts w:ascii="Trebuchet MS" w:hAnsi="Trebuchet MS"/>
          <w:color w:val="000000" w:themeColor="text1"/>
          <w:sz w:val="22"/>
          <w:szCs w:val="22"/>
        </w:rPr>
        <w:t xml:space="preserve">2021 rok przyniósł również zmianę przepisów dotyczących przewagi kontraktowej, wynikającą z </w:t>
      </w:r>
      <w:hyperlink r:id="rId18" w:history="1">
        <w:r w:rsidRPr="00573B17">
          <w:rPr>
            <w:rStyle w:val="Hipercze"/>
            <w:rFonts w:ascii="Trebuchet MS" w:hAnsi="Trebuchet MS"/>
            <w:sz w:val="22"/>
            <w:szCs w:val="22"/>
            <w:lang w:eastAsia="en-US"/>
          </w:rPr>
          <w:t>implementacji unijnej dyrektywy</w:t>
        </w:r>
      </w:hyperlink>
      <w:r w:rsidR="000D0DCB" w:rsidRPr="00573B17">
        <w:rPr>
          <w:rFonts w:ascii="Trebuchet MS" w:hAnsi="Trebuchet MS"/>
          <w:color w:val="000000" w:themeColor="text1"/>
          <w:sz w:val="22"/>
          <w:szCs w:val="22"/>
        </w:rPr>
        <w:t xml:space="preserve">. Nowe prawo </w:t>
      </w:r>
      <w:r w:rsidR="000D0DCB" w:rsidRPr="00573B17">
        <w:rPr>
          <w:rStyle w:val="Uwydatnienie"/>
          <w:rFonts w:ascii="Trebuchet MS" w:hAnsi="Trebuchet MS" w:cs="Tahoma"/>
          <w:i w:val="0"/>
          <w:color w:val="000000" w:themeColor="text1"/>
          <w:sz w:val="22"/>
          <w:szCs w:val="22"/>
          <w:shd w:val="clear" w:color="auto" w:fill="FFFFFF"/>
        </w:rPr>
        <w:t xml:space="preserve">w zasadniczych kwestiach odpowiada wcześniej stosowanym rozwiązaniom, pozwoli jednak na skuteczniejsze zwalczanie nieuczciwych praktyk. Kilka zmian zostało wprowadzonych z inicjatywy Prezesa UOKiK. Pierwszą z nich jest </w:t>
      </w:r>
      <w:r w:rsidR="000D0DCB" w:rsidRPr="00573B17">
        <w:rPr>
          <w:rFonts w:ascii="Trebuchet MS" w:hAnsi="Trebuchet MS" w:cs="Tahoma"/>
          <w:iCs/>
          <w:color w:val="000000" w:themeColor="text1"/>
          <w:sz w:val="22"/>
          <w:szCs w:val="22"/>
        </w:rPr>
        <w:t xml:space="preserve">możliwość przedstawiania istotnego poglądu w sprawie. Kolejna to </w:t>
      </w:r>
      <w:r w:rsidR="000D0DCB" w:rsidRPr="00573B17">
        <w:rPr>
          <w:rFonts w:ascii="Trebuchet MS" w:hAnsi="Trebuchet MS" w:cs="Tahoma"/>
          <w:color w:val="000000" w:themeColor="text1"/>
          <w:sz w:val="22"/>
          <w:szCs w:val="22"/>
        </w:rPr>
        <w:t> bezwzględny zakaz nieuzasadnionego obniżania należności z tytułu dostawy produktów rolnych lub spożywczych po jej przyjęciu przez nabywcę, w szczególności na skutek żądania udzielenia rabatu</w:t>
      </w:r>
      <w:r w:rsidR="00420533" w:rsidRPr="00420533">
        <w:rPr>
          <w:rFonts w:ascii="Trebuchet MS" w:hAnsi="Trebuchet MS" w:cs="Tahoma"/>
          <w:color w:val="000000" w:themeColor="text1"/>
          <w:sz w:val="22"/>
          <w:szCs w:val="22"/>
        </w:rPr>
        <w:t>.</w:t>
      </w:r>
    </w:p>
    <w:p w14:paraId="6E92152D" w14:textId="1DCEA451" w:rsidR="00794F05" w:rsidRPr="004A5373" w:rsidRDefault="00794F05" w:rsidP="003D676B">
      <w:pPr>
        <w:spacing w:after="240" w:line="360" w:lineRule="auto"/>
        <w:jc w:val="both"/>
        <w:rPr>
          <w:b/>
          <w:iCs/>
          <w:sz w:val="22"/>
        </w:rPr>
      </w:pPr>
      <w:r w:rsidRPr="004A5373">
        <w:rPr>
          <w:b/>
          <w:iCs/>
          <w:sz w:val="22"/>
        </w:rPr>
        <w:t>Zatory płatnicze</w:t>
      </w:r>
    </w:p>
    <w:p w14:paraId="7AC3F294" w14:textId="03F3A869" w:rsidR="00EA27CF" w:rsidRDefault="004A5373" w:rsidP="003D676B">
      <w:pPr>
        <w:spacing w:after="240" w:line="360" w:lineRule="auto"/>
        <w:jc w:val="both"/>
        <w:rPr>
          <w:rStyle w:val="Uwydatnienie"/>
          <w:rFonts w:cs="Arial"/>
          <w:i w:val="0"/>
          <w:sz w:val="22"/>
          <w:shd w:val="clear" w:color="auto" w:fill="FFFFFF"/>
        </w:rPr>
      </w:pPr>
      <w:r w:rsidRPr="004A5373">
        <w:rPr>
          <w:rStyle w:val="Uwydatnienie"/>
          <w:rFonts w:cs="Arial"/>
          <w:i w:val="0"/>
          <w:iCs w:val="0"/>
          <w:sz w:val="22"/>
          <w:shd w:val="clear" w:color="auto" w:fill="FFFFFF"/>
        </w:rPr>
        <w:t>Rok</w:t>
      </w:r>
      <w:r w:rsidR="00EA27CF" w:rsidRPr="004A5373">
        <w:rPr>
          <w:rStyle w:val="Uwydatnienie"/>
          <w:rFonts w:cs="Arial"/>
          <w:i w:val="0"/>
          <w:iCs w:val="0"/>
          <w:sz w:val="22"/>
          <w:shd w:val="clear" w:color="auto" w:fill="FFFFFF"/>
        </w:rPr>
        <w:t xml:space="preserve"> 202</w:t>
      </w:r>
      <w:r w:rsidRPr="004A5373">
        <w:rPr>
          <w:rStyle w:val="Uwydatnienie"/>
          <w:rFonts w:cs="Arial"/>
          <w:i w:val="0"/>
          <w:iCs w:val="0"/>
          <w:sz w:val="22"/>
          <w:shd w:val="clear" w:color="auto" w:fill="FFFFFF"/>
        </w:rPr>
        <w:t>1</w:t>
      </w:r>
      <w:r w:rsidR="00EA27CF" w:rsidRPr="004A5373">
        <w:rPr>
          <w:rStyle w:val="Uwydatnienie"/>
          <w:rFonts w:cs="Arial"/>
          <w:i w:val="0"/>
          <w:iCs w:val="0"/>
          <w:sz w:val="22"/>
          <w:shd w:val="clear" w:color="auto" w:fill="FFFFFF"/>
        </w:rPr>
        <w:t xml:space="preserve"> </w:t>
      </w:r>
      <w:r w:rsidRPr="004A5373">
        <w:rPr>
          <w:rStyle w:val="Uwydatnienie"/>
          <w:rFonts w:cs="Arial"/>
          <w:i w:val="0"/>
          <w:iCs w:val="0"/>
          <w:sz w:val="22"/>
          <w:shd w:val="clear" w:color="auto" w:fill="FFFFFF"/>
        </w:rPr>
        <w:t>przyniósł pierwsze decyzje Prezesa UOKiK wobec przedsiębiorców tworzących</w:t>
      </w:r>
      <w:r w:rsidR="00EA27CF" w:rsidRPr="004A5373">
        <w:rPr>
          <w:rStyle w:val="Uwydatnienie"/>
          <w:rFonts w:cs="Arial"/>
          <w:i w:val="0"/>
          <w:iCs w:val="0"/>
          <w:sz w:val="22"/>
          <w:shd w:val="clear" w:color="auto" w:fill="FFFFFF"/>
        </w:rPr>
        <w:t xml:space="preserve"> zatory płatnicze</w:t>
      </w:r>
      <w:r w:rsidRPr="004A5373">
        <w:rPr>
          <w:rStyle w:val="Uwydatnienie"/>
          <w:rFonts w:cs="Arial"/>
          <w:i w:val="0"/>
          <w:iCs w:val="0"/>
          <w:sz w:val="22"/>
          <w:shd w:val="clear" w:color="auto" w:fill="FFFFFF"/>
        </w:rPr>
        <w:t xml:space="preserve"> – ten obszar jest w kompetencjach Urzędu od 2020 r.</w:t>
      </w:r>
      <w:r w:rsidR="00EA27CF" w:rsidRPr="004A5373">
        <w:rPr>
          <w:rStyle w:val="Uwydatnienie"/>
          <w:rFonts w:cs="Arial"/>
          <w:i w:val="0"/>
          <w:iCs w:val="0"/>
          <w:sz w:val="22"/>
          <w:shd w:val="clear" w:color="auto" w:fill="FFFFFF"/>
        </w:rPr>
        <w:t xml:space="preserve"> </w:t>
      </w:r>
      <w:r>
        <w:rPr>
          <w:rStyle w:val="Uwydatnienie"/>
          <w:rFonts w:cs="Arial"/>
          <w:i w:val="0"/>
          <w:iCs w:val="0"/>
          <w:sz w:val="22"/>
          <w:shd w:val="clear" w:color="auto" w:fill="FFFFFF"/>
        </w:rPr>
        <w:t xml:space="preserve">W ubiegłym roku </w:t>
      </w:r>
      <w:r w:rsidRPr="004A5373">
        <w:rPr>
          <w:rStyle w:val="Uwydatnienie"/>
          <w:rFonts w:cs="Arial"/>
          <w:b/>
          <w:i w:val="0"/>
          <w:iCs w:val="0"/>
          <w:sz w:val="22"/>
          <w:shd w:val="clear" w:color="auto" w:fill="FFFFFF"/>
        </w:rPr>
        <w:t>prowadziliśmy 108 postępowań</w:t>
      </w:r>
      <w:r>
        <w:rPr>
          <w:rStyle w:val="Uwydatnienie"/>
          <w:rFonts w:cs="Arial"/>
          <w:i w:val="0"/>
          <w:iCs w:val="0"/>
          <w:sz w:val="22"/>
          <w:shd w:val="clear" w:color="auto" w:fill="FFFFFF"/>
        </w:rPr>
        <w:t xml:space="preserve">, w tym 8 wszczętych w 2021 r. Prezes UOKiK wydał </w:t>
      </w:r>
      <w:r w:rsidRPr="004A5373">
        <w:rPr>
          <w:rStyle w:val="Uwydatnienie"/>
          <w:rFonts w:cs="Arial"/>
          <w:b/>
          <w:i w:val="0"/>
          <w:iCs w:val="0"/>
          <w:sz w:val="22"/>
          <w:shd w:val="clear" w:color="auto" w:fill="FFFFFF"/>
        </w:rPr>
        <w:t>21 decyzji</w:t>
      </w:r>
      <w:r w:rsidRPr="004A5373">
        <w:rPr>
          <w:rStyle w:val="Uwydatnienie"/>
          <w:rFonts w:cs="Arial"/>
          <w:i w:val="0"/>
          <w:iCs w:val="0"/>
          <w:sz w:val="22"/>
          <w:shd w:val="clear" w:color="auto" w:fill="FFFFFF"/>
        </w:rPr>
        <w:t xml:space="preserve"> </w:t>
      </w:r>
      <w:r w:rsidRPr="004A5373">
        <w:rPr>
          <w:rStyle w:val="Uwydatnienie"/>
          <w:rFonts w:cs="Arial"/>
          <w:i w:val="0"/>
          <w:sz w:val="22"/>
          <w:shd w:val="clear" w:color="auto" w:fill="FFFFFF"/>
        </w:rPr>
        <w:t xml:space="preserve">w sprawie nadmiernego opóźniania się ze spełnianiem świadczeń pieniężnych. Na przedsiębiorców powodujących zatory nałożył kary w łącznej wysokości ponad </w:t>
      </w:r>
      <w:r w:rsidRPr="004A5373">
        <w:rPr>
          <w:rStyle w:val="Uwydatnienie"/>
          <w:rFonts w:cs="Arial"/>
          <w:b/>
          <w:i w:val="0"/>
          <w:sz w:val="22"/>
          <w:shd w:val="clear" w:color="auto" w:fill="FFFFFF"/>
        </w:rPr>
        <w:t>1,4 mln zł</w:t>
      </w:r>
      <w:r w:rsidRPr="004A5373">
        <w:rPr>
          <w:rStyle w:val="Uwydatnienie"/>
          <w:rFonts w:cs="Arial"/>
          <w:i w:val="0"/>
          <w:sz w:val="22"/>
          <w:shd w:val="clear" w:color="auto" w:fill="FFFFFF"/>
        </w:rPr>
        <w:t xml:space="preserve">. </w:t>
      </w:r>
    </w:p>
    <w:p w14:paraId="35906D82" w14:textId="043AB014" w:rsidR="00420533" w:rsidRPr="00573B17" w:rsidRDefault="00420533" w:rsidP="003D676B">
      <w:pPr>
        <w:spacing w:after="240" w:line="360" w:lineRule="auto"/>
        <w:jc w:val="both"/>
        <w:rPr>
          <w:rStyle w:val="Uwydatnienie"/>
          <w:rFonts w:cs="Arial"/>
          <w:i w:val="0"/>
          <w:color w:val="000000" w:themeColor="text1"/>
          <w:sz w:val="22"/>
          <w:shd w:val="clear" w:color="auto" w:fill="FFFFFF"/>
        </w:rPr>
      </w:pPr>
      <w:r w:rsidRPr="00573B17">
        <w:rPr>
          <w:rStyle w:val="Uwydatnienie"/>
          <w:rFonts w:cs="Arial"/>
          <w:i w:val="0"/>
          <w:color w:val="000000" w:themeColor="text1"/>
          <w:sz w:val="22"/>
          <w:shd w:val="clear" w:color="auto" w:fill="FFFFFF"/>
        </w:rPr>
        <w:t xml:space="preserve">Początek obowiązywania przepisów o zatorach płatniczych pokazał już potrzebę zmian w prawie. Obowiązująca </w:t>
      </w:r>
      <w:r w:rsidRPr="00573B17">
        <w:rPr>
          <w:rFonts w:cs="Tahoma"/>
          <w:color w:val="000000" w:themeColor="text1"/>
          <w:sz w:val="22"/>
          <w:shd w:val="clear" w:color="auto" w:fill="FFFFFF"/>
        </w:rPr>
        <w:t xml:space="preserve">ustawa m.in. w niezwykle sztywny sposób określa ramy działania Prezesa UOKiK, nie pozwala również na wzięcie pod uwagę szczególnych uwarunkowań gospodarczych czy też konkretnych okoliczności dotyczących przedsiębiorców. </w:t>
      </w:r>
      <w:r w:rsidR="00985ED2">
        <w:rPr>
          <w:rFonts w:cs="Tahoma"/>
          <w:color w:val="000000" w:themeColor="text1"/>
          <w:sz w:val="22"/>
          <w:shd w:val="clear" w:color="auto" w:fill="FFFFFF"/>
        </w:rPr>
        <w:t>Od miesięcy t</w:t>
      </w:r>
      <w:r w:rsidRPr="00573B17">
        <w:rPr>
          <w:rFonts w:cs="Tahoma"/>
          <w:color w:val="000000" w:themeColor="text1"/>
          <w:sz w:val="22"/>
          <w:shd w:val="clear" w:color="auto" w:fill="FFFFFF"/>
        </w:rPr>
        <w:t>rwają uzgodnienia międzyresortowe dotyczące nowelizacji ustawy. Zdaniem Urzędu niezbędne jest przede wszystkim uelastycznienie obowiązujących przepisów, w tym w zakresie uwzględniania przy wymiarze kary szczególnych okoliczności dotyczących naruszenia jak i samego przedsiębiorcy, łagodzących i obciążających.</w:t>
      </w:r>
    </w:p>
    <w:p w14:paraId="5DCDBAF3" w14:textId="77777777" w:rsidR="002B3A4D" w:rsidRPr="003D676B" w:rsidRDefault="002B3A4D" w:rsidP="003D676B">
      <w:pPr>
        <w:spacing w:after="240" w:line="360" w:lineRule="auto"/>
        <w:jc w:val="both"/>
        <w:rPr>
          <w:b/>
          <w:sz w:val="22"/>
        </w:rPr>
      </w:pPr>
      <w:r w:rsidRPr="003D676B">
        <w:rPr>
          <w:b/>
          <w:sz w:val="22"/>
        </w:rPr>
        <w:t>OCHRONA KONSUMENTÓW</w:t>
      </w:r>
    </w:p>
    <w:p w14:paraId="3889F2BD" w14:textId="77777777" w:rsidR="000628EA" w:rsidRPr="003D676B" w:rsidRDefault="000628EA" w:rsidP="003D676B">
      <w:pPr>
        <w:spacing w:after="240" w:line="360" w:lineRule="auto"/>
        <w:jc w:val="both"/>
        <w:rPr>
          <w:b/>
          <w:bCs/>
          <w:sz w:val="22"/>
        </w:rPr>
      </w:pPr>
      <w:r w:rsidRPr="003D676B">
        <w:rPr>
          <w:b/>
          <w:bCs/>
          <w:sz w:val="22"/>
        </w:rPr>
        <w:lastRenderedPageBreak/>
        <w:t>Ochrona zbiorowych interesów konsumentów i niedozwolone postanowienia umowne</w:t>
      </w:r>
    </w:p>
    <w:p w14:paraId="6095D2A9" w14:textId="62D63154" w:rsidR="002B3A4D" w:rsidRDefault="00E71F4A" w:rsidP="003D676B">
      <w:pPr>
        <w:spacing w:after="240" w:line="360" w:lineRule="auto"/>
        <w:jc w:val="both"/>
        <w:rPr>
          <w:sz w:val="22"/>
        </w:rPr>
      </w:pPr>
      <w:r w:rsidRPr="009115A6">
        <w:rPr>
          <w:b/>
          <w:bCs/>
          <w:sz w:val="22"/>
        </w:rPr>
        <w:t xml:space="preserve">Prezes </w:t>
      </w:r>
      <w:r w:rsidR="006253FD" w:rsidRPr="009115A6">
        <w:rPr>
          <w:b/>
          <w:bCs/>
          <w:sz w:val="22"/>
        </w:rPr>
        <w:t>UOKiK wszczął</w:t>
      </w:r>
      <w:r w:rsidR="00F36E2F" w:rsidRPr="003D676B">
        <w:rPr>
          <w:sz w:val="22"/>
        </w:rPr>
        <w:t xml:space="preserve"> </w:t>
      </w:r>
      <w:r w:rsidR="00F36E2F" w:rsidRPr="00DC40B2">
        <w:rPr>
          <w:b/>
          <w:bCs/>
          <w:sz w:val="22"/>
        </w:rPr>
        <w:t>49</w:t>
      </w:r>
      <w:r w:rsidR="006253FD" w:rsidRPr="00DC40B2">
        <w:rPr>
          <w:b/>
          <w:bCs/>
          <w:sz w:val="22"/>
        </w:rPr>
        <w:t xml:space="preserve"> </w:t>
      </w:r>
      <w:r w:rsidR="006253FD" w:rsidRPr="00DC40B2">
        <w:rPr>
          <w:b/>
          <w:sz w:val="22"/>
        </w:rPr>
        <w:t xml:space="preserve">postępowań </w:t>
      </w:r>
      <w:r w:rsidR="006253FD" w:rsidRPr="009115A6">
        <w:rPr>
          <w:bCs/>
          <w:sz w:val="22"/>
        </w:rPr>
        <w:t>w sprawie praktyk naruszających zbiorowe interesy konsumentów</w:t>
      </w:r>
      <w:r w:rsidR="000F3A8A" w:rsidRPr="009115A6">
        <w:rPr>
          <w:bCs/>
          <w:sz w:val="22"/>
        </w:rPr>
        <w:t xml:space="preserve"> oraz </w:t>
      </w:r>
      <w:r w:rsidR="006253FD" w:rsidRPr="009115A6">
        <w:rPr>
          <w:bCs/>
          <w:sz w:val="22"/>
        </w:rPr>
        <w:t>dotyczących uznania postanowień wzorca umowy za niedozwolone</w:t>
      </w:r>
      <w:r w:rsidR="009115A6">
        <w:rPr>
          <w:bCs/>
          <w:sz w:val="22"/>
        </w:rPr>
        <w:t>, a także</w:t>
      </w:r>
      <w:r w:rsidR="006253FD" w:rsidRPr="009115A6">
        <w:rPr>
          <w:bCs/>
          <w:sz w:val="22"/>
        </w:rPr>
        <w:t xml:space="preserve"> </w:t>
      </w:r>
      <w:r w:rsidR="00DC40B2">
        <w:rPr>
          <w:bCs/>
          <w:sz w:val="22"/>
        </w:rPr>
        <w:t>171</w:t>
      </w:r>
      <w:r w:rsidR="006253FD" w:rsidRPr="009115A6">
        <w:rPr>
          <w:bCs/>
          <w:sz w:val="22"/>
        </w:rPr>
        <w:t xml:space="preserve"> postępowań wyjaśniających.</w:t>
      </w:r>
      <w:r w:rsidR="006253FD" w:rsidRPr="003D676B">
        <w:rPr>
          <w:sz w:val="22"/>
        </w:rPr>
        <w:t xml:space="preserve"> </w:t>
      </w:r>
      <w:r w:rsidR="00213DC9" w:rsidRPr="009115A6">
        <w:rPr>
          <w:b/>
          <w:bCs/>
          <w:sz w:val="22"/>
        </w:rPr>
        <w:t>W</w:t>
      </w:r>
      <w:r w:rsidR="00DC40B2">
        <w:rPr>
          <w:b/>
          <w:bCs/>
          <w:sz w:val="22"/>
        </w:rPr>
        <w:t xml:space="preserve">ydał </w:t>
      </w:r>
      <w:r w:rsidR="00DC40B2" w:rsidRPr="00DC40B2">
        <w:rPr>
          <w:b/>
          <w:bCs/>
          <w:sz w:val="22"/>
        </w:rPr>
        <w:t>59</w:t>
      </w:r>
      <w:r w:rsidR="009115A6" w:rsidRPr="00DC40B2">
        <w:rPr>
          <w:b/>
          <w:bCs/>
          <w:sz w:val="22"/>
        </w:rPr>
        <w:t xml:space="preserve"> decyzji</w:t>
      </w:r>
      <w:r w:rsidR="009115A6">
        <w:rPr>
          <w:b/>
          <w:bCs/>
          <w:sz w:val="22"/>
        </w:rPr>
        <w:t xml:space="preserve">, </w:t>
      </w:r>
      <w:r w:rsidR="009115A6" w:rsidRPr="006D40AC">
        <w:rPr>
          <w:b/>
          <w:bCs/>
          <w:sz w:val="22"/>
        </w:rPr>
        <w:t xml:space="preserve">w których nałożył łącznie </w:t>
      </w:r>
      <w:r w:rsidR="006D40AC" w:rsidRPr="00FF4630">
        <w:rPr>
          <w:b/>
          <w:bCs/>
          <w:sz w:val="22"/>
        </w:rPr>
        <w:t>15</w:t>
      </w:r>
      <w:r w:rsidR="00FF4630" w:rsidRPr="00FF4630">
        <w:rPr>
          <w:b/>
          <w:bCs/>
          <w:sz w:val="22"/>
        </w:rPr>
        <w:t>3</w:t>
      </w:r>
      <w:r w:rsidR="009115A6" w:rsidRPr="00FF4630">
        <w:rPr>
          <w:b/>
          <w:bCs/>
          <w:sz w:val="22"/>
        </w:rPr>
        <w:t>,</w:t>
      </w:r>
      <w:r w:rsidR="00FF4630">
        <w:rPr>
          <w:b/>
          <w:bCs/>
          <w:sz w:val="22"/>
        </w:rPr>
        <w:t>8</w:t>
      </w:r>
      <w:r w:rsidR="009115A6" w:rsidRPr="006D40AC">
        <w:rPr>
          <w:b/>
          <w:bCs/>
          <w:sz w:val="22"/>
        </w:rPr>
        <w:t xml:space="preserve"> mln zł sankcji pieniężnych</w:t>
      </w:r>
      <w:r w:rsidR="009115A6" w:rsidRPr="006D40AC">
        <w:rPr>
          <w:sz w:val="22"/>
        </w:rPr>
        <w:t xml:space="preserve">. </w:t>
      </w:r>
      <w:r w:rsidR="009115A6">
        <w:rPr>
          <w:sz w:val="22"/>
        </w:rPr>
        <w:t>Urząd podejmował</w:t>
      </w:r>
      <w:r w:rsidR="008A05FA" w:rsidRPr="003D676B">
        <w:rPr>
          <w:sz w:val="22"/>
        </w:rPr>
        <w:t xml:space="preserve"> </w:t>
      </w:r>
      <w:r w:rsidR="00812939" w:rsidRPr="003D676B">
        <w:rPr>
          <w:sz w:val="22"/>
        </w:rPr>
        <w:t xml:space="preserve">liczne </w:t>
      </w:r>
      <w:r w:rsidR="006253FD" w:rsidRPr="003D676B">
        <w:rPr>
          <w:sz w:val="22"/>
        </w:rPr>
        <w:t xml:space="preserve">działania miękkie: </w:t>
      </w:r>
      <w:r w:rsidRPr="003D676B">
        <w:rPr>
          <w:sz w:val="22"/>
        </w:rPr>
        <w:t>wystosowa</w:t>
      </w:r>
      <w:r w:rsidR="006D40AC">
        <w:rPr>
          <w:sz w:val="22"/>
        </w:rPr>
        <w:t>ł</w:t>
      </w:r>
      <w:r w:rsidR="002569E3" w:rsidRPr="003D676B">
        <w:rPr>
          <w:sz w:val="22"/>
        </w:rPr>
        <w:t xml:space="preserve"> </w:t>
      </w:r>
      <w:r w:rsidR="006D40AC" w:rsidRPr="006D40AC">
        <w:rPr>
          <w:b/>
          <w:bCs/>
          <w:sz w:val="22"/>
        </w:rPr>
        <w:t>408</w:t>
      </w:r>
      <w:r w:rsidR="008A05FA" w:rsidRPr="006D40AC">
        <w:rPr>
          <w:b/>
          <w:bCs/>
          <w:sz w:val="22"/>
        </w:rPr>
        <w:t xml:space="preserve"> </w:t>
      </w:r>
      <w:r w:rsidR="006253FD" w:rsidRPr="006D40AC">
        <w:rPr>
          <w:b/>
          <w:bCs/>
          <w:sz w:val="22"/>
        </w:rPr>
        <w:t>wystąpień do przedsiębiorców</w:t>
      </w:r>
      <w:r w:rsidR="006253FD" w:rsidRPr="006D40AC">
        <w:rPr>
          <w:sz w:val="22"/>
        </w:rPr>
        <w:t xml:space="preserve"> </w:t>
      </w:r>
      <w:r w:rsidR="006253FD" w:rsidRPr="003D676B">
        <w:rPr>
          <w:sz w:val="22"/>
        </w:rPr>
        <w:t xml:space="preserve">o zmianę praktyki. </w:t>
      </w:r>
      <w:r w:rsidR="006253FD" w:rsidRPr="006D40AC">
        <w:rPr>
          <w:sz w:val="22"/>
        </w:rPr>
        <w:t xml:space="preserve">Ponadto </w:t>
      </w:r>
      <w:r w:rsidR="006D40AC" w:rsidRPr="006D40AC">
        <w:rPr>
          <w:sz w:val="22"/>
        </w:rPr>
        <w:t>442</w:t>
      </w:r>
      <w:r w:rsidR="002569E3" w:rsidRPr="006D40AC">
        <w:rPr>
          <w:sz w:val="22"/>
        </w:rPr>
        <w:t xml:space="preserve"> </w:t>
      </w:r>
      <w:r w:rsidR="006253FD" w:rsidRPr="006D40AC">
        <w:rPr>
          <w:sz w:val="22"/>
        </w:rPr>
        <w:t xml:space="preserve">razy </w:t>
      </w:r>
      <w:r w:rsidRPr="006D40AC">
        <w:rPr>
          <w:sz w:val="22"/>
        </w:rPr>
        <w:t>wyda</w:t>
      </w:r>
      <w:r w:rsidR="006D40AC" w:rsidRPr="006D40AC">
        <w:rPr>
          <w:sz w:val="22"/>
        </w:rPr>
        <w:t>ł</w:t>
      </w:r>
      <w:r w:rsidR="006253FD" w:rsidRPr="006D40AC">
        <w:rPr>
          <w:sz w:val="22"/>
        </w:rPr>
        <w:t xml:space="preserve"> istotny pogląd</w:t>
      </w:r>
      <w:r w:rsidRPr="006D40AC">
        <w:rPr>
          <w:sz w:val="22"/>
        </w:rPr>
        <w:t xml:space="preserve"> </w:t>
      </w:r>
      <w:r w:rsidRPr="003D676B">
        <w:rPr>
          <w:sz w:val="22"/>
        </w:rPr>
        <w:t>w sprawie dla</w:t>
      </w:r>
      <w:r w:rsidR="006253FD" w:rsidRPr="003D676B">
        <w:rPr>
          <w:sz w:val="22"/>
        </w:rPr>
        <w:t xml:space="preserve"> os</w:t>
      </w:r>
      <w:r w:rsidRPr="003D676B">
        <w:rPr>
          <w:sz w:val="22"/>
        </w:rPr>
        <w:t>ób walczących</w:t>
      </w:r>
      <w:r w:rsidR="006253FD" w:rsidRPr="003D676B">
        <w:rPr>
          <w:sz w:val="22"/>
        </w:rPr>
        <w:t xml:space="preserve"> o swoje prawa w sądzie.</w:t>
      </w:r>
    </w:p>
    <w:p w14:paraId="0754F47E" w14:textId="5595588A" w:rsidR="00477C78" w:rsidRDefault="00477C78" w:rsidP="003D676B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Nowością w 2021 r. było zainteresowanie się </w:t>
      </w:r>
      <w:r w:rsidR="00985ED2">
        <w:rPr>
          <w:sz w:val="22"/>
        </w:rPr>
        <w:t>Urzędu</w:t>
      </w:r>
      <w:r>
        <w:rPr>
          <w:sz w:val="22"/>
        </w:rPr>
        <w:t xml:space="preserve"> </w:t>
      </w:r>
      <w:r w:rsidRPr="006C2D67">
        <w:rPr>
          <w:b/>
          <w:sz w:val="22"/>
        </w:rPr>
        <w:t>działalnością influencerów</w:t>
      </w:r>
      <w:r>
        <w:rPr>
          <w:sz w:val="22"/>
        </w:rPr>
        <w:t xml:space="preserve"> w mediach społecznościowych. Prezes Urzędu wszczął 2 postępowania wyjaśniające, w których przygląda się tej branży pod kątem </w:t>
      </w:r>
      <w:hyperlink r:id="rId19" w:history="1">
        <w:r w:rsidR="006C2D67" w:rsidRPr="006C2D67">
          <w:rPr>
            <w:rStyle w:val="Hipercze"/>
            <w:sz w:val="22"/>
          </w:rPr>
          <w:t>kryptoreklamy</w:t>
        </w:r>
      </w:hyperlink>
      <w:r>
        <w:rPr>
          <w:sz w:val="22"/>
        </w:rPr>
        <w:t xml:space="preserve"> oraz </w:t>
      </w:r>
      <w:hyperlink r:id="rId20" w:history="1">
        <w:r w:rsidR="006C2D67" w:rsidRPr="006C2D67">
          <w:rPr>
            <w:rStyle w:val="Hipercze"/>
            <w:sz w:val="22"/>
          </w:rPr>
          <w:t xml:space="preserve">promowania </w:t>
        </w:r>
        <w:r w:rsidRPr="006C2D67">
          <w:rPr>
            <w:rStyle w:val="Hipercze"/>
            <w:sz w:val="22"/>
          </w:rPr>
          <w:t>scamu</w:t>
        </w:r>
      </w:hyperlink>
      <w:r w:rsidR="006C2D67">
        <w:rPr>
          <w:sz w:val="22"/>
        </w:rPr>
        <w:t xml:space="preserve"> np. poprzez</w:t>
      </w:r>
      <w:r>
        <w:rPr>
          <w:sz w:val="22"/>
        </w:rPr>
        <w:t xml:space="preserve"> </w:t>
      </w:r>
      <w:r w:rsidR="006C2D67" w:rsidRPr="006C2D67">
        <w:rPr>
          <w:sz w:val="22"/>
        </w:rPr>
        <w:t xml:space="preserve">wprowadzenie w błąd </w:t>
      </w:r>
      <w:r w:rsidR="006C2D67">
        <w:rPr>
          <w:sz w:val="22"/>
        </w:rPr>
        <w:t>c</w:t>
      </w:r>
      <w:r w:rsidR="006C2D67" w:rsidRPr="006C2D67">
        <w:rPr>
          <w:sz w:val="22"/>
        </w:rPr>
        <w:t xml:space="preserve">o </w:t>
      </w:r>
      <w:r w:rsidR="006C2D67">
        <w:rPr>
          <w:sz w:val="22"/>
        </w:rPr>
        <w:t xml:space="preserve">do </w:t>
      </w:r>
      <w:r w:rsidR="006C2D67" w:rsidRPr="006C2D67">
        <w:rPr>
          <w:sz w:val="22"/>
        </w:rPr>
        <w:t>nieistniejących promocj</w:t>
      </w:r>
      <w:r w:rsidR="006C2D67">
        <w:rPr>
          <w:sz w:val="22"/>
        </w:rPr>
        <w:t>i</w:t>
      </w:r>
      <w:r w:rsidR="006C2D67" w:rsidRPr="006C2D67">
        <w:rPr>
          <w:sz w:val="22"/>
        </w:rPr>
        <w:t>, uk</w:t>
      </w:r>
      <w:r w:rsidR="006C2D67">
        <w:rPr>
          <w:sz w:val="22"/>
        </w:rPr>
        <w:t>rywanie istotnych cech produktu</w:t>
      </w:r>
      <w:r w:rsidR="006C2D67" w:rsidRPr="006C2D67">
        <w:rPr>
          <w:sz w:val="22"/>
        </w:rPr>
        <w:t xml:space="preserve"> czy oferowanie rzeczy szkodliwych</w:t>
      </w:r>
      <w:r w:rsidR="006C2D67">
        <w:rPr>
          <w:sz w:val="22"/>
        </w:rPr>
        <w:t>.</w:t>
      </w:r>
    </w:p>
    <w:p w14:paraId="1ED0B62A" w14:textId="79566E78" w:rsidR="009469F6" w:rsidRDefault="006C2D67" w:rsidP="009469F6">
      <w:pPr>
        <w:spacing w:after="240" w:line="360" w:lineRule="auto"/>
        <w:jc w:val="both"/>
        <w:rPr>
          <w:rFonts w:cs="Arial"/>
          <w:sz w:val="22"/>
        </w:rPr>
      </w:pPr>
      <w:r w:rsidRPr="00CC3ABF">
        <w:rPr>
          <w:b/>
          <w:sz w:val="22"/>
        </w:rPr>
        <w:t>Najwyższe kary</w:t>
      </w:r>
      <w:r>
        <w:rPr>
          <w:sz w:val="22"/>
        </w:rPr>
        <w:t xml:space="preserve"> za naruszanie zbiorowych interesów konsumentów w 2021 r. zostały nałożone na: </w:t>
      </w:r>
      <w:hyperlink r:id="rId21" w:history="1">
        <w:r w:rsidRPr="00255305">
          <w:rPr>
            <w:rStyle w:val="Hipercze"/>
            <w:sz w:val="22"/>
          </w:rPr>
          <w:t>Jeronimo Martins Polska</w:t>
        </w:r>
      </w:hyperlink>
      <w:r w:rsidRPr="006C2D67">
        <w:rPr>
          <w:sz w:val="22"/>
        </w:rPr>
        <w:t xml:space="preserve"> </w:t>
      </w:r>
      <w:r w:rsidR="00255305" w:rsidRPr="00255305">
        <w:rPr>
          <w:sz w:val="22"/>
        </w:rPr>
        <w:t xml:space="preserve">za </w:t>
      </w:r>
      <w:r w:rsidR="00255305" w:rsidRPr="00255305">
        <w:rPr>
          <w:bCs/>
          <w:sz w:val="22"/>
        </w:rPr>
        <w:t>wprowadzanie w błąd co do kraju pochodzenia warzyw i owoców</w:t>
      </w:r>
      <w:r w:rsidR="00255305" w:rsidRPr="00255305">
        <w:rPr>
          <w:sz w:val="22"/>
        </w:rPr>
        <w:t xml:space="preserve"> </w:t>
      </w:r>
      <w:r w:rsidR="00255305">
        <w:rPr>
          <w:sz w:val="22"/>
        </w:rPr>
        <w:t xml:space="preserve">sprzedawanych w sieci Biedronka </w:t>
      </w:r>
      <w:r w:rsidRPr="00255305">
        <w:rPr>
          <w:sz w:val="22"/>
        </w:rPr>
        <w:t>(ponad 60 mln zł)</w:t>
      </w:r>
      <w:r w:rsidR="00255305">
        <w:rPr>
          <w:sz w:val="22"/>
        </w:rPr>
        <w:t xml:space="preserve">; </w:t>
      </w:r>
      <w:hyperlink r:id="rId22" w:history="1">
        <w:r w:rsidR="00255305" w:rsidRPr="00D6220C">
          <w:rPr>
            <w:rStyle w:val="Hipercze"/>
            <w:sz w:val="22"/>
          </w:rPr>
          <w:t xml:space="preserve">Santander </w:t>
        </w:r>
        <w:r w:rsidR="00D6220C" w:rsidRPr="00D6220C">
          <w:rPr>
            <w:rStyle w:val="Hipercze"/>
            <w:sz w:val="22"/>
          </w:rPr>
          <w:t xml:space="preserve">Consumer </w:t>
        </w:r>
        <w:r w:rsidR="00255305" w:rsidRPr="00D6220C">
          <w:rPr>
            <w:rStyle w:val="Hipercze"/>
            <w:sz w:val="22"/>
          </w:rPr>
          <w:t>Bank</w:t>
        </w:r>
      </w:hyperlink>
      <w:r w:rsidR="00255305" w:rsidRPr="00D6220C">
        <w:rPr>
          <w:sz w:val="22"/>
        </w:rPr>
        <w:t xml:space="preserve"> </w:t>
      </w:r>
      <w:r w:rsidR="00D6220C" w:rsidRPr="00D6220C">
        <w:rPr>
          <w:sz w:val="22"/>
        </w:rPr>
        <w:t xml:space="preserve">za </w:t>
      </w:r>
      <w:r w:rsidR="00D6220C" w:rsidRPr="00D6220C">
        <w:rPr>
          <w:bCs/>
          <w:sz w:val="22"/>
        </w:rPr>
        <w:t>praktyki związane z udzielaniem kredytów konsumenckich</w:t>
      </w:r>
      <w:r w:rsidR="00D6220C" w:rsidRPr="00D6220C">
        <w:rPr>
          <w:sz w:val="22"/>
        </w:rPr>
        <w:t xml:space="preserve"> </w:t>
      </w:r>
      <w:r w:rsidR="00255305" w:rsidRPr="00255305">
        <w:rPr>
          <w:sz w:val="22"/>
        </w:rPr>
        <w:t xml:space="preserve">(ponad </w:t>
      </w:r>
      <w:r w:rsidR="00255305">
        <w:rPr>
          <w:sz w:val="22"/>
        </w:rPr>
        <w:t>44</w:t>
      </w:r>
      <w:r w:rsidR="00255305" w:rsidRPr="00255305">
        <w:rPr>
          <w:sz w:val="22"/>
        </w:rPr>
        <w:t xml:space="preserve"> mln zł)</w:t>
      </w:r>
      <w:r w:rsidR="00D6220C">
        <w:rPr>
          <w:sz w:val="22"/>
        </w:rPr>
        <w:t xml:space="preserve"> oraz </w:t>
      </w:r>
      <w:hyperlink r:id="rId23" w:history="1">
        <w:r w:rsidR="00D6220C" w:rsidRPr="00D6220C">
          <w:rPr>
            <w:rStyle w:val="Hipercze"/>
            <w:sz w:val="22"/>
          </w:rPr>
          <w:t>Open Life TU Życie</w:t>
        </w:r>
      </w:hyperlink>
      <w:r w:rsidR="00D6220C">
        <w:rPr>
          <w:sz w:val="22"/>
        </w:rPr>
        <w:t xml:space="preserve"> za nieuczciwą sprzedaż (misselling)</w:t>
      </w:r>
      <w:r w:rsidR="00D6220C" w:rsidRPr="00D6220C">
        <w:rPr>
          <w:sz w:val="22"/>
        </w:rPr>
        <w:t xml:space="preserve"> </w:t>
      </w:r>
      <w:r w:rsidR="00D6220C">
        <w:rPr>
          <w:sz w:val="22"/>
        </w:rPr>
        <w:t>ubezpieczeń</w:t>
      </w:r>
      <w:r w:rsidR="00D6220C" w:rsidRPr="00D6220C">
        <w:rPr>
          <w:sz w:val="22"/>
        </w:rPr>
        <w:t xml:space="preserve"> z u</w:t>
      </w:r>
      <w:r w:rsidR="00D6220C">
        <w:rPr>
          <w:sz w:val="22"/>
        </w:rPr>
        <w:t>fk (ponad 2</w:t>
      </w:r>
      <w:r w:rsidR="00D6220C" w:rsidRPr="00255305">
        <w:rPr>
          <w:sz w:val="22"/>
        </w:rPr>
        <w:t>0 mln zł)</w:t>
      </w:r>
      <w:r w:rsidR="00D6220C">
        <w:rPr>
          <w:sz w:val="22"/>
        </w:rPr>
        <w:t xml:space="preserve">. W 2021 r. </w:t>
      </w:r>
      <w:r>
        <w:rPr>
          <w:sz w:val="22"/>
        </w:rPr>
        <w:t xml:space="preserve">Prezes UOKiK </w:t>
      </w:r>
      <w:r w:rsidR="00D6220C">
        <w:rPr>
          <w:sz w:val="22"/>
        </w:rPr>
        <w:t xml:space="preserve">po raz pierwszy skorzystał z uprawnienia do </w:t>
      </w:r>
      <w:r w:rsidR="00D6220C" w:rsidRPr="00D6220C">
        <w:rPr>
          <w:b/>
          <w:sz w:val="22"/>
        </w:rPr>
        <w:t>karania osób zarządzających</w:t>
      </w:r>
      <w:r w:rsidR="00D6220C">
        <w:rPr>
          <w:sz w:val="22"/>
        </w:rPr>
        <w:t xml:space="preserve"> w firmach, które umyślnie dopuściły do naruszeń wobec konsumentów. Takie sankcje nałożył </w:t>
      </w:r>
      <w:r w:rsidR="00CC3ABF">
        <w:rPr>
          <w:sz w:val="22"/>
        </w:rPr>
        <w:t>na członków zarządów</w:t>
      </w:r>
      <w:r w:rsidR="00D6220C">
        <w:rPr>
          <w:sz w:val="22"/>
        </w:rPr>
        <w:t xml:space="preserve"> w spółkach: </w:t>
      </w:r>
      <w:hyperlink r:id="rId24" w:history="1">
        <w:r w:rsidR="00D6220C" w:rsidRPr="00D6220C">
          <w:rPr>
            <w:rStyle w:val="Hipercze"/>
            <w:sz w:val="22"/>
          </w:rPr>
          <w:t>Fundico</w:t>
        </w:r>
      </w:hyperlink>
      <w:r w:rsidR="00CC3ABF">
        <w:rPr>
          <w:sz w:val="22"/>
        </w:rPr>
        <w:t xml:space="preserve"> (wprowadzanie w błąd przy inwestycjach)</w:t>
      </w:r>
      <w:r w:rsidR="00D6220C">
        <w:rPr>
          <w:sz w:val="22"/>
        </w:rPr>
        <w:t>,</w:t>
      </w:r>
      <w:r w:rsidR="00CC3ABF">
        <w:rPr>
          <w:sz w:val="22"/>
        </w:rPr>
        <w:t xml:space="preserve"> </w:t>
      </w:r>
      <w:hyperlink r:id="rId25" w:history="1">
        <w:r w:rsidR="00CC3ABF" w:rsidRPr="00CC3ABF">
          <w:rPr>
            <w:rStyle w:val="Hipercze"/>
            <w:sz w:val="22"/>
          </w:rPr>
          <w:t>MAGFORTE</w:t>
        </w:r>
      </w:hyperlink>
      <w:r w:rsidR="00CC3ABF">
        <w:rPr>
          <w:sz w:val="22"/>
        </w:rPr>
        <w:t xml:space="preserve"> (nieuczciwe praktyki podczas pokazów handlowych) oraz</w:t>
      </w:r>
      <w:r w:rsidR="00D6220C">
        <w:rPr>
          <w:sz w:val="22"/>
        </w:rPr>
        <w:t xml:space="preserve"> </w:t>
      </w:r>
      <w:hyperlink r:id="rId26" w:history="1">
        <w:r w:rsidR="00CC3ABF" w:rsidRPr="00CC3ABF">
          <w:rPr>
            <w:rStyle w:val="Hipercze"/>
            <w:sz w:val="22"/>
          </w:rPr>
          <w:t>NTIM</w:t>
        </w:r>
      </w:hyperlink>
      <w:r w:rsidR="00CC3ABF">
        <w:rPr>
          <w:sz w:val="22"/>
        </w:rPr>
        <w:t xml:space="preserve"> (propagowanie systemów promocyjnych typu piramida). </w:t>
      </w:r>
      <w:r w:rsidR="009469F6">
        <w:rPr>
          <w:rFonts w:cs="Arial"/>
          <w:sz w:val="22"/>
        </w:rPr>
        <w:t>Ponadto w</w:t>
      </w:r>
      <w:r w:rsidR="009469F6" w:rsidRPr="003D676B">
        <w:rPr>
          <w:rFonts w:cs="Arial"/>
          <w:sz w:val="22"/>
        </w:rPr>
        <w:t xml:space="preserve"> 202</w:t>
      </w:r>
      <w:r w:rsidR="009469F6">
        <w:rPr>
          <w:rFonts w:cs="Arial"/>
          <w:sz w:val="22"/>
        </w:rPr>
        <w:t>1</w:t>
      </w:r>
      <w:r w:rsidR="009469F6" w:rsidRPr="003D676B">
        <w:rPr>
          <w:rFonts w:cs="Arial"/>
          <w:sz w:val="22"/>
        </w:rPr>
        <w:t xml:space="preserve"> r. Prezes </w:t>
      </w:r>
      <w:r w:rsidR="00C3512C">
        <w:rPr>
          <w:rFonts w:cs="Arial"/>
          <w:sz w:val="22"/>
        </w:rPr>
        <w:t xml:space="preserve">Urzędu </w:t>
      </w:r>
      <w:r w:rsidR="009469F6">
        <w:rPr>
          <w:rFonts w:cs="Arial"/>
          <w:sz w:val="22"/>
        </w:rPr>
        <w:t>kontynuował</w:t>
      </w:r>
      <w:r w:rsidR="009469F6" w:rsidRPr="003D676B">
        <w:rPr>
          <w:rFonts w:cs="Arial"/>
          <w:sz w:val="22"/>
        </w:rPr>
        <w:t xml:space="preserve"> </w:t>
      </w:r>
      <w:hyperlink r:id="rId27" w:history="1">
        <w:r w:rsidR="00CC3ABF" w:rsidRPr="00CC3ABF">
          <w:rPr>
            <w:rStyle w:val="Hipercze"/>
            <w:rFonts w:cs="Arial"/>
            <w:sz w:val="22"/>
          </w:rPr>
          <w:t>karanie</w:t>
        </w:r>
        <w:r w:rsidR="009469F6" w:rsidRPr="00CC3ABF">
          <w:rPr>
            <w:rStyle w:val="Hipercze"/>
            <w:rFonts w:cs="Arial"/>
            <w:sz w:val="22"/>
          </w:rPr>
          <w:t xml:space="preserve"> </w:t>
        </w:r>
        <w:r w:rsidR="00CC3ABF" w:rsidRPr="00CC3ABF">
          <w:rPr>
            <w:rStyle w:val="Hipercze"/>
            <w:rFonts w:cs="Arial"/>
            <w:sz w:val="22"/>
          </w:rPr>
          <w:t>tzw. naganiaczy</w:t>
        </w:r>
      </w:hyperlink>
      <w:r w:rsidR="00CC3ABF">
        <w:rPr>
          <w:rFonts w:cs="Arial"/>
          <w:sz w:val="22"/>
        </w:rPr>
        <w:t xml:space="preserve"> namawiających </w:t>
      </w:r>
      <w:r w:rsidR="00FD61EC">
        <w:rPr>
          <w:rFonts w:cs="Arial"/>
          <w:sz w:val="22"/>
        </w:rPr>
        <w:t>konsumentów</w:t>
      </w:r>
      <w:r w:rsidR="009469F6" w:rsidRPr="003D676B">
        <w:rPr>
          <w:rFonts w:cs="Arial"/>
          <w:sz w:val="22"/>
        </w:rPr>
        <w:t xml:space="preserve"> do udziału w nielegalny</w:t>
      </w:r>
      <w:r w:rsidR="00FD61EC">
        <w:rPr>
          <w:rFonts w:cs="Arial"/>
          <w:sz w:val="22"/>
        </w:rPr>
        <w:t>ch</w:t>
      </w:r>
      <w:r w:rsidR="009469F6" w:rsidRPr="003D676B">
        <w:rPr>
          <w:rFonts w:cs="Arial"/>
          <w:sz w:val="22"/>
        </w:rPr>
        <w:t xml:space="preserve"> system</w:t>
      </w:r>
      <w:r w:rsidR="00FD61EC">
        <w:rPr>
          <w:rFonts w:cs="Arial"/>
          <w:sz w:val="22"/>
        </w:rPr>
        <w:t xml:space="preserve">ach </w:t>
      </w:r>
      <w:r w:rsidR="00FD61EC" w:rsidRPr="003D676B">
        <w:rPr>
          <w:rFonts w:cs="Arial"/>
          <w:sz w:val="22"/>
        </w:rPr>
        <w:t>typu piramida</w:t>
      </w:r>
      <w:r w:rsidR="009469F6" w:rsidRPr="003D676B">
        <w:rPr>
          <w:rFonts w:cs="Arial"/>
          <w:sz w:val="22"/>
        </w:rPr>
        <w:t xml:space="preserve">. </w:t>
      </w:r>
    </w:p>
    <w:p w14:paraId="5BE71FC5" w14:textId="5D263D91" w:rsidR="00F60A2D" w:rsidRPr="00F60A2D" w:rsidRDefault="00F60A2D" w:rsidP="00F60A2D">
      <w:pPr>
        <w:spacing w:after="240" w:line="360" w:lineRule="auto"/>
        <w:jc w:val="both"/>
        <w:rPr>
          <w:rFonts w:cs="Arial"/>
          <w:sz w:val="22"/>
        </w:rPr>
      </w:pPr>
      <w:r w:rsidRPr="00F60A2D">
        <w:rPr>
          <w:rFonts w:cs="Arial"/>
          <w:sz w:val="22"/>
        </w:rPr>
        <w:t xml:space="preserve">Prezes UOKiK wraz z </w:t>
      </w:r>
      <w:hyperlink r:id="rId28" w:tgtFrame="_blank" w:history="1">
        <w:r w:rsidRPr="00F60A2D">
          <w:rPr>
            <w:rStyle w:val="Hipercze"/>
            <w:sz w:val="22"/>
          </w:rPr>
          <w:t>GovTech Polska</w:t>
        </w:r>
      </w:hyperlink>
      <w:r w:rsidR="00727517">
        <w:rPr>
          <w:rFonts w:cs="Arial"/>
          <w:sz w:val="22"/>
        </w:rPr>
        <w:t xml:space="preserve"> przeprowadził w 2021 r. </w:t>
      </w:r>
      <w:hyperlink r:id="rId29" w:tgtFrame="_blank" w:history="1">
        <w:r w:rsidRPr="00727517">
          <w:rPr>
            <w:rStyle w:val="Hipercze"/>
            <w:sz w:val="22"/>
          </w:rPr>
          <w:t>konkurs</w:t>
        </w:r>
      </w:hyperlink>
      <w:r w:rsidRPr="00727517">
        <w:rPr>
          <w:rStyle w:val="Hipercze"/>
        </w:rPr>
        <w:t xml:space="preserve"> </w:t>
      </w:r>
      <w:r w:rsidRPr="00F60A2D">
        <w:rPr>
          <w:rFonts w:cs="Arial"/>
          <w:sz w:val="22"/>
        </w:rPr>
        <w:t>na zaprojektowanie narzędzia opartego o sztuczną inteligencję (AI), którego celem ma być wstępna analiza wzorców umownych stosowanych przez przedsiębiorców w kontaktach z konsumentami pod kątem postanowień niedozwolonych. Zwycięzcą został Ośrodek Przetwarzania Informacji – Państwowy Instytut Badawczy.</w:t>
      </w:r>
    </w:p>
    <w:p w14:paraId="6EBF87A4" w14:textId="25A33BDA" w:rsidR="000628EA" w:rsidRPr="007D20AF" w:rsidRDefault="000628EA" w:rsidP="003D676B">
      <w:pPr>
        <w:spacing w:after="240" w:line="360" w:lineRule="auto"/>
        <w:jc w:val="both"/>
        <w:rPr>
          <w:b/>
          <w:sz w:val="22"/>
        </w:rPr>
      </w:pPr>
      <w:r w:rsidRPr="007D20AF">
        <w:rPr>
          <w:b/>
          <w:sz w:val="22"/>
        </w:rPr>
        <w:t>Bezpieczeństwo produktów</w:t>
      </w:r>
      <w:r w:rsidR="005329E5" w:rsidRPr="007D20AF">
        <w:rPr>
          <w:b/>
          <w:sz w:val="22"/>
        </w:rPr>
        <w:t xml:space="preserve"> i nadzór rynku</w:t>
      </w:r>
    </w:p>
    <w:p w14:paraId="2A29CBF8" w14:textId="1FD38529" w:rsidR="008658A2" w:rsidRPr="007D20AF" w:rsidRDefault="008658A2" w:rsidP="003D676B">
      <w:pPr>
        <w:spacing w:after="240" w:line="360" w:lineRule="auto"/>
        <w:jc w:val="both"/>
        <w:rPr>
          <w:rFonts w:cs="Arial"/>
          <w:sz w:val="22"/>
          <w:lang w:eastAsia="pl-PL"/>
        </w:rPr>
      </w:pPr>
      <w:r w:rsidRPr="007D20AF">
        <w:rPr>
          <w:sz w:val="22"/>
        </w:rPr>
        <w:lastRenderedPageBreak/>
        <w:t xml:space="preserve">Ochrona konsumentów obejmuje również bezpieczeństwo produktów. </w:t>
      </w:r>
      <w:r w:rsidRPr="007D20AF">
        <w:rPr>
          <w:rFonts w:cs="Arial"/>
          <w:sz w:val="22"/>
          <w:lang w:eastAsia="pl-PL"/>
        </w:rPr>
        <w:t xml:space="preserve">UOKiK analizuje wyniki kontroli Inspekcji Handlowej i napływające sygnały, w szczególności skargi konsumenckie oraz powiadomienia od organów nadzoru innych państw członkowskich UE w ramach unijnego systemu </w:t>
      </w:r>
      <w:hyperlink r:id="rId30" w:history="1">
        <w:r w:rsidRPr="00F53E48">
          <w:rPr>
            <w:rStyle w:val="Hipercze"/>
            <w:rFonts w:cs="Arial"/>
            <w:sz w:val="22"/>
            <w:lang w:eastAsia="pl-PL"/>
          </w:rPr>
          <w:t>RAPEX</w:t>
        </w:r>
      </w:hyperlink>
      <w:r w:rsidRPr="007D20AF">
        <w:rPr>
          <w:rFonts w:cs="Arial"/>
          <w:sz w:val="22"/>
          <w:lang w:eastAsia="pl-PL"/>
        </w:rPr>
        <w:t xml:space="preserve">. </w:t>
      </w:r>
    </w:p>
    <w:p w14:paraId="31B44AB0" w14:textId="09DC91C6" w:rsidR="002126D8" w:rsidRPr="002126D8" w:rsidRDefault="008658A2" w:rsidP="002126D8">
      <w:pPr>
        <w:spacing w:after="240" w:line="360" w:lineRule="auto"/>
        <w:jc w:val="both"/>
        <w:rPr>
          <w:rFonts w:cs="Arial"/>
          <w:sz w:val="22"/>
          <w:lang w:eastAsia="pl-PL"/>
        </w:rPr>
      </w:pPr>
      <w:r w:rsidRPr="00573B17">
        <w:rPr>
          <w:rFonts w:cs="Arial"/>
          <w:b/>
          <w:sz w:val="22"/>
          <w:lang w:eastAsia="pl-PL"/>
        </w:rPr>
        <w:t>W 202</w:t>
      </w:r>
      <w:r w:rsidR="007D20AF" w:rsidRPr="00573B17">
        <w:rPr>
          <w:rFonts w:cs="Arial"/>
          <w:b/>
          <w:sz w:val="22"/>
          <w:lang w:eastAsia="pl-PL"/>
        </w:rPr>
        <w:t>1</w:t>
      </w:r>
      <w:r w:rsidRPr="00573B17">
        <w:rPr>
          <w:rFonts w:cs="Arial"/>
          <w:b/>
          <w:sz w:val="22"/>
          <w:lang w:eastAsia="pl-PL"/>
        </w:rPr>
        <w:t xml:space="preserve"> r. </w:t>
      </w:r>
      <w:r w:rsidR="00167E24" w:rsidRPr="00573B17">
        <w:rPr>
          <w:rFonts w:cs="Arial"/>
          <w:b/>
          <w:sz w:val="22"/>
          <w:lang w:eastAsia="pl-PL"/>
        </w:rPr>
        <w:t xml:space="preserve">Prezes </w:t>
      </w:r>
      <w:r w:rsidRPr="00573B17">
        <w:rPr>
          <w:rFonts w:cs="Arial"/>
          <w:b/>
          <w:sz w:val="22"/>
          <w:lang w:eastAsia="pl-PL"/>
        </w:rPr>
        <w:t>UOKiK zainicjował 1</w:t>
      </w:r>
      <w:r w:rsidR="007D20AF" w:rsidRPr="00573B17">
        <w:rPr>
          <w:rFonts w:cs="Arial"/>
          <w:b/>
          <w:sz w:val="22"/>
          <w:lang w:eastAsia="pl-PL"/>
        </w:rPr>
        <w:t>14</w:t>
      </w:r>
      <w:r w:rsidRPr="00573B17">
        <w:rPr>
          <w:rFonts w:cs="Arial"/>
          <w:b/>
          <w:sz w:val="22"/>
          <w:lang w:eastAsia="pl-PL"/>
        </w:rPr>
        <w:t xml:space="preserve"> spraw z zakresu ogólnego bezpieczeństwa</w:t>
      </w:r>
      <w:r w:rsidRPr="007D20AF">
        <w:rPr>
          <w:rFonts w:cs="Arial"/>
          <w:sz w:val="22"/>
          <w:lang w:eastAsia="pl-PL"/>
        </w:rPr>
        <w:t xml:space="preserve"> </w:t>
      </w:r>
      <w:r w:rsidRPr="00573B17">
        <w:rPr>
          <w:rFonts w:cs="Arial"/>
          <w:b/>
          <w:sz w:val="22"/>
          <w:lang w:eastAsia="pl-PL"/>
        </w:rPr>
        <w:t>produktów</w:t>
      </w:r>
      <w:r w:rsidRPr="007D20AF">
        <w:rPr>
          <w:rFonts w:cs="Arial"/>
          <w:sz w:val="22"/>
          <w:lang w:eastAsia="pl-PL"/>
        </w:rPr>
        <w:t xml:space="preserve">, w tym </w:t>
      </w:r>
      <w:r w:rsidR="007D20AF" w:rsidRPr="007D20AF">
        <w:rPr>
          <w:rFonts w:cs="Arial"/>
          <w:sz w:val="22"/>
          <w:lang w:eastAsia="pl-PL"/>
        </w:rPr>
        <w:t>68</w:t>
      </w:r>
      <w:r w:rsidRPr="007D20AF">
        <w:rPr>
          <w:rFonts w:cs="Arial"/>
          <w:sz w:val="22"/>
          <w:lang w:eastAsia="pl-PL"/>
        </w:rPr>
        <w:t xml:space="preserve"> czynności wyjaśniając</w:t>
      </w:r>
      <w:r w:rsidR="007D20AF" w:rsidRPr="007D20AF">
        <w:rPr>
          <w:rFonts w:cs="Arial"/>
          <w:sz w:val="22"/>
          <w:lang w:eastAsia="pl-PL"/>
        </w:rPr>
        <w:t>ych</w:t>
      </w:r>
      <w:r w:rsidRPr="007D20AF">
        <w:rPr>
          <w:rFonts w:cs="Arial"/>
          <w:sz w:val="22"/>
          <w:lang w:eastAsia="pl-PL"/>
        </w:rPr>
        <w:t xml:space="preserve"> oraz </w:t>
      </w:r>
      <w:r w:rsidR="007D20AF" w:rsidRPr="007D20AF">
        <w:rPr>
          <w:rFonts w:cs="Arial"/>
          <w:sz w:val="22"/>
          <w:lang w:eastAsia="pl-PL"/>
        </w:rPr>
        <w:t>46</w:t>
      </w:r>
      <w:r w:rsidRPr="007D20AF">
        <w:rPr>
          <w:rFonts w:cs="Arial"/>
          <w:sz w:val="22"/>
          <w:lang w:eastAsia="pl-PL"/>
        </w:rPr>
        <w:t xml:space="preserve"> postępowań administracyjnych. Działania te najczęściej dotyczyły </w:t>
      </w:r>
      <w:r w:rsidR="007D20AF" w:rsidRPr="007D20AF">
        <w:rPr>
          <w:rFonts w:cs="Arial"/>
          <w:sz w:val="22"/>
          <w:lang w:eastAsia="pl-PL"/>
        </w:rPr>
        <w:t>wózków dla dzieci, fotelików rowerowych i czujników czadu</w:t>
      </w:r>
      <w:r w:rsidRPr="007D20AF">
        <w:rPr>
          <w:rFonts w:cs="Arial"/>
          <w:sz w:val="22"/>
          <w:lang w:eastAsia="pl-PL"/>
        </w:rPr>
        <w:t>.</w:t>
      </w:r>
      <w:r w:rsidR="00864FAE">
        <w:rPr>
          <w:rFonts w:cs="Arial"/>
          <w:sz w:val="22"/>
          <w:lang w:eastAsia="pl-PL"/>
        </w:rPr>
        <w:t xml:space="preserve"> </w:t>
      </w:r>
      <w:r w:rsidRPr="002126D8">
        <w:rPr>
          <w:rFonts w:cs="Arial"/>
          <w:sz w:val="22"/>
          <w:lang w:eastAsia="pl-PL"/>
        </w:rPr>
        <w:t>W 202</w:t>
      </w:r>
      <w:r w:rsidR="007D20AF" w:rsidRPr="002126D8">
        <w:rPr>
          <w:rFonts w:cs="Arial"/>
          <w:sz w:val="22"/>
          <w:lang w:eastAsia="pl-PL"/>
        </w:rPr>
        <w:t>1</w:t>
      </w:r>
      <w:r w:rsidRPr="002126D8">
        <w:rPr>
          <w:rFonts w:cs="Arial"/>
          <w:sz w:val="22"/>
          <w:lang w:eastAsia="pl-PL"/>
        </w:rPr>
        <w:t xml:space="preserve"> r. Urząd otrzymał </w:t>
      </w:r>
      <w:r w:rsidRPr="002126D8">
        <w:rPr>
          <w:rFonts w:cs="Arial"/>
          <w:b/>
          <w:sz w:val="22"/>
          <w:lang w:eastAsia="pl-PL"/>
        </w:rPr>
        <w:t>3</w:t>
      </w:r>
      <w:r w:rsidR="002126D8" w:rsidRPr="002126D8">
        <w:rPr>
          <w:rFonts w:cs="Arial"/>
          <w:b/>
          <w:sz w:val="22"/>
          <w:lang w:eastAsia="pl-PL"/>
        </w:rPr>
        <w:t>26</w:t>
      </w:r>
      <w:r w:rsidRPr="002126D8">
        <w:rPr>
          <w:rFonts w:cs="Arial"/>
          <w:b/>
          <w:sz w:val="22"/>
          <w:lang w:eastAsia="pl-PL"/>
        </w:rPr>
        <w:t xml:space="preserve"> dobrowolnych powiadomień</w:t>
      </w:r>
      <w:r w:rsidR="002B1F90" w:rsidRPr="002126D8">
        <w:rPr>
          <w:rFonts w:cs="Arial"/>
          <w:b/>
          <w:sz w:val="22"/>
          <w:lang w:eastAsia="pl-PL"/>
        </w:rPr>
        <w:t xml:space="preserve"> </w:t>
      </w:r>
      <w:r w:rsidR="002B1F90" w:rsidRPr="00573B17">
        <w:rPr>
          <w:rFonts w:cs="Arial"/>
          <w:sz w:val="22"/>
          <w:lang w:eastAsia="pl-PL"/>
        </w:rPr>
        <w:t>od</w:t>
      </w:r>
      <w:r w:rsidR="002B1F90" w:rsidRPr="002126D8">
        <w:rPr>
          <w:rFonts w:cs="Arial"/>
          <w:b/>
          <w:sz w:val="22"/>
          <w:lang w:eastAsia="pl-PL"/>
        </w:rPr>
        <w:t xml:space="preserve"> </w:t>
      </w:r>
      <w:r w:rsidR="002B1F90" w:rsidRPr="002126D8">
        <w:rPr>
          <w:rFonts w:cs="Arial"/>
          <w:bCs/>
          <w:sz w:val="22"/>
          <w:lang w:eastAsia="pl-PL"/>
        </w:rPr>
        <w:t>przedsiębiorców o produktach stwarzających zagrożenie</w:t>
      </w:r>
      <w:r w:rsidRPr="002126D8">
        <w:rPr>
          <w:rFonts w:cs="Arial"/>
          <w:bCs/>
          <w:sz w:val="22"/>
          <w:lang w:eastAsia="pl-PL"/>
        </w:rPr>
        <w:t>,</w:t>
      </w:r>
      <w:r w:rsidRPr="002126D8">
        <w:rPr>
          <w:rFonts w:cs="Arial"/>
          <w:sz w:val="22"/>
          <w:lang w:eastAsia="pl-PL"/>
        </w:rPr>
        <w:t xml:space="preserve"> z czego </w:t>
      </w:r>
      <w:r w:rsidR="002126D8" w:rsidRPr="002126D8">
        <w:rPr>
          <w:rFonts w:cs="Arial"/>
          <w:sz w:val="22"/>
          <w:lang w:eastAsia="pl-PL"/>
        </w:rPr>
        <w:t>najwięcej (272)</w:t>
      </w:r>
      <w:r w:rsidRPr="002126D8">
        <w:rPr>
          <w:rFonts w:cs="Arial"/>
          <w:sz w:val="22"/>
          <w:lang w:eastAsia="pl-PL"/>
        </w:rPr>
        <w:t xml:space="preserve"> dotyczyło pojazdów mechanicznych. </w:t>
      </w:r>
    </w:p>
    <w:p w14:paraId="2E8B11E3" w14:textId="29621980" w:rsidR="00880084" w:rsidRPr="002126D8" w:rsidRDefault="005E5831" w:rsidP="002126D8">
      <w:pPr>
        <w:spacing w:after="240" w:line="360" w:lineRule="auto"/>
        <w:jc w:val="both"/>
        <w:rPr>
          <w:rFonts w:cs="Arial"/>
          <w:sz w:val="22"/>
          <w:lang w:eastAsia="pl-PL"/>
        </w:rPr>
      </w:pPr>
      <w:r w:rsidRPr="002126D8">
        <w:rPr>
          <w:rFonts w:cs="Arial"/>
          <w:sz w:val="22"/>
          <w:lang w:eastAsia="pl-PL"/>
        </w:rPr>
        <w:t xml:space="preserve">Ponadto UOKiK zainicjował </w:t>
      </w:r>
      <w:r w:rsidR="002126D8" w:rsidRPr="002126D8">
        <w:rPr>
          <w:rFonts w:cs="Arial"/>
          <w:b/>
          <w:sz w:val="22"/>
          <w:lang w:eastAsia="pl-PL"/>
        </w:rPr>
        <w:t>262</w:t>
      </w:r>
      <w:r w:rsidRPr="002126D8">
        <w:rPr>
          <w:rFonts w:cs="Arial"/>
          <w:b/>
          <w:sz w:val="22"/>
          <w:lang w:eastAsia="pl-PL"/>
        </w:rPr>
        <w:t xml:space="preserve"> spraw</w:t>
      </w:r>
      <w:r w:rsidR="002126D8" w:rsidRPr="002126D8">
        <w:rPr>
          <w:rFonts w:cs="Arial"/>
          <w:b/>
          <w:sz w:val="22"/>
          <w:lang w:eastAsia="pl-PL"/>
        </w:rPr>
        <w:t>y</w:t>
      </w:r>
      <w:r w:rsidRPr="002126D8">
        <w:rPr>
          <w:rFonts w:cs="Arial"/>
          <w:b/>
          <w:sz w:val="22"/>
          <w:lang w:eastAsia="pl-PL"/>
        </w:rPr>
        <w:t xml:space="preserve"> z zakresu zgodności wyrobów z </w:t>
      </w:r>
      <w:r w:rsidR="007F0193" w:rsidRPr="002126D8">
        <w:rPr>
          <w:rFonts w:cs="Arial"/>
          <w:b/>
          <w:sz w:val="22"/>
          <w:lang w:eastAsia="pl-PL"/>
        </w:rPr>
        <w:t xml:space="preserve">unijnymi </w:t>
      </w:r>
      <w:r w:rsidRPr="002126D8">
        <w:rPr>
          <w:rFonts w:cs="Arial"/>
          <w:b/>
          <w:sz w:val="22"/>
          <w:lang w:eastAsia="pl-PL"/>
        </w:rPr>
        <w:t>wymaganiami</w:t>
      </w:r>
      <w:r w:rsidRPr="002126D8">
        <w:rPr>
          <w:rFonts w:cs="Arial"/>
          <w:sz w:val="22"/>
          <w:lang w:eastAsia="pl-PL"/>
        </w:rPr>
        <w:t xml:space="preserve">, w tym </w:t>
      </w:r>
      <w:r w:rsidR="002126D8" w:rsidRPr="002126D8">
        <w:rPr>
          <w:rFonts w:cs="Arial"/>
          <w:sz w:val="22"/>
          <w:lang w:eastAsia="pl-PL"/>
        </w:rPr>
        <w:t>64</w:t>
      </w:r>
      <w:r w:rsidRPr="002126D8">
        <w:rPr>
          <w:rFonts w:cs="Arial"/>
          <w:sz w:val="22"/>
          <w:lang w:eastAsia="pl-PL"/>
        </w:rPr>
        <w:t xml:space="preserve"> czynności wyjaśniając</w:t>
      </w:r>
      <w:r w:rsidR="002126D8" w:rsidRPr="002126D8">
        <w:rPr>
          <w:rFonts w:cs="Arial"/>
          <w:sz w:val="22"/>
          <w:lang w:eastAsia="pl-PL"/>
        </w:rPr>
        <w:t>e</w:t>
      </w:r>
      <w:r w:rsidRPr="002126D8">
        <w:rPr>
          <w:rFonts w:cs="Arial"/>
          <w:sz w:val="22"/>
          <w:lang w:eastAsia="pl-PL"/>
        </w:rPr>
        <w:t xml:space="preserve"> oraz </w:t>
      </w:r>
      <w:r w:rsidR="002126D8" w:rsidRPr="002126D8">
        <w:rPr>
          <w:rFonts w:cs="Arial"/>
          <w:sz w:val="22"/>
          <w:lang w:eastAsia="pl-PL"/>
        </w:rPr>
        <w:t>198</w:t>
      </w:r>
      <w:r w:rsidRPr="002126D8">
        <w:rPr>
          <w:rFonts w:cs="Arial"/>
          <w:sz w:val="22"/>
          <w:lang w:eastAsia="pl-PL"/>
        </w:rPr>
        <w:t xml:space="preserve"> postępowań administracyjnych. Działania te dotyczyły najczęściej zabawek</w:t>
      </w:r>
      <w:r w:rsidR="002126D8" w:rsidRPr="002126D8">
        <w:rPr>
          <w:rFonts w:cs="Arial"/>
          <w:sz w:val="22"/>
          <w:lang w:eastAsia="pl-PL"/>
        </w:rPr>
        <w:t>,</w:t>
      </w:r>
      <w:r w:rsidRPr="002126D8">
        <w:rPr>
          <w:rFonts w:cs="Arial"/>
          <w:sz w:val="22"/>
          <w:lang w:eastAsia="pl-PL"/>
        </w:rPr>
        <w:t xml:space="preserve"> sprzętu elektrycznego</w:t>
      </w:r>
      <w:r w:rsidR="002126D8" w:rsidRPr="002126D8">
        <w:rPr>
          <w:rFonts w:cs="Arial"/>
          <w:sz w:val="22"/>
          <w:lang w:eastAsia="pl-PL"/>
        </w:rPr>
        <w:t xml:space="preserve"> oraz środków ochrony indywidualnej.</w:t>
      </w:r>
    </w:p>
    <w:p w14:paraId="7DD0EC0C" w14:textId="77777777" w:rsidR="002D3643" w:rsidRPr="00313BC6" w:rsidRDefault="002D3643" w:rsidP="003D676B">
      <w:pPr>
        <w:spacing w:after="240" w:line="360" w:lineRule="auto"/>
        <w:jc w:val="both"/>
        <w:rPr>
          <w:sz w:val="22"/>
        </w:rPr>
      </w:pPr>
      <w:r w:rsidRPr="00313BC6">
        <w:rPr>
          <w:b/>
          <w:bCs/>
          <w:sz w:val="22"/>
        </w:rPr>
        <w:t>Inspekcja Handlowa</w:t>
      </w:r>
    </w:p>
    <w:p w14:paraId="45D21784" w14:textId="4683AC4D" w:rsidR="00B26424" w:rsidRPr="00963AA3" w:rsidRDefault="00E71F4A" w:rsidP="003D676B">
      <w:pPr>
        <w:spacing w:after="240" w:line="360" w:lineRule="auto"/>
        <w:jc w:val="both"/>
        <w:rPr>
          <w:rFonts w:cs="Arial"/>
          <w:bCs/>
          <w:sz w:val="22"/>
          <w:lang w:eastAsia="pl-PL"/>
        </w:rPr>
      </w:pPr>
      <w:r w:rsidRPr="00313BC6">
        <w:rPr>
          <w:iCs/>
          <w:sz w:val="22"/>
        </w:rPr>
        <w:t xml:space="preserve">Prezes </w:t>
      </w:r>
      <w:r w:rsidR="002D3643" w:rsidRPr="00313BC6">
        <w:rPr>
          <w:iCs/>
          <w:sz w:val="22"/>
        </w:rPr>
        <w:t xml:space="preserve">UOKiK dba o bezpieczeństwo produktów w Polsce także poprzez nadzór nad Inspekcją Handlową. </w:t>
      </w:r>
      <w:r w:rsidRPr="00313BC6">
        <w:rPr>
          <w:iCs/>
          <w:sz w:val="22"/>
        </w:rPr>
        <w:t>Urząd</w:t>
      </w:r>
      <w:r w:rsidR="002D3643" w:rsidRPr="00313BC6">
        <w:rPr>
          <w:iCs/>
          <w:sz w:val="22"/>
        </w:rPr>
        <w:t xml:space="preserve"> planuje, koordynuje i monitoruje kontrole prowadzone przez Wojewódzkie Inspektoraty Inspekcji Handlowej (WIIH), a także analizuje ich wyniki. W 20</w:t>
      </w:r>
      <w:r w:rsidR="008658A2" w:rsidRPr="00313BC6">
        <w:rPr>
          <w:iCs/>
          <w:sz w:val="22"/>
        </w:rPr>
        <w:t>2</w:t>
      </w:r>
      <w:r w:rsidR="006D6C90" w:rsidRPr="00313BC6">
        <w:rPr>
          <w:iCs/>
          <w:sz w:val="22"/>
        </w:rPr>
        <w:t>1</w:t>
      </w:r>
      <w:r w:rsidR="008658A2" w:rsidRPr="00313BC6">
        <w:rPr>
          <w:iCs/>
          <w:sz w:val="22"/>
        </w:rPr>
        <w:t xml:space="preserve"> </w:t>
      </w:r>
      <w:r w:rsidR="002D3643" w:rsidRPr="00313BC6">
        <w:rPr>
          <w:iCs/>
          <w:sz w:val="22"/>
        </w:rPr>
        <w:t xml:space="preserve">r. </w:t>
      </w:r>
      <w:r w:rsidR="002D3643" w:rsidRPr="00313BC6">
        <w:rPr>
          <w:b/>
          <w:bCs/>
          <w:iCs/>
          <w:sz w:val="22"/>
        </w:rPr>
        <w:t xml:space="preserve">Inspekcja Handlowa </w:t>
      </w:r>
      <w:r w:rsidR="00337541" w:rsidRPr="00313BC6">
        <w:rPr>
          <w:b/>
          <w:bCs/>
          <w:iCs/>
          <w:sz w:val="22"/>
        </w:rPr>
        <w:t>prze</w:t>
      </w:r>
      <w:r w:rsidR="002D3643" w:rsidRPr="00313BC6">
        <w:rPr>
          <w:b/>
          <w:bCs/>
          <w:iCs/>
          <w:sz w:val="22"/>
        </w:rPr>
        <w:t>prowadziła</w:t>
      </w:r>
      <w:r w:rsidR="00963AA3">
        <w:rPr>
          <w:b/>
          <w:bCs/>
          <w:iCs/>
          <w:sz w:val="22"/>
        </w:rPr>
        <w:t xml:space="preserve"> </w:t>
      </w:r>
      <w:r w:rsidR="00337541" w:rsidRPr="00963AA3">
        <w:rPr>
          <w:b/>
          <w:bCs/>
          <w:iCs/>
          <w:sz w:val="22"/>
        </w:rPr>
        <w:t>łącznie ponad 1</w:t>
      </w:r>
      <w:r w:rsidR="00963AA3" w:rsidRPr="00963AA3">
        <w:rPr>
          <w:b/>
          <w:bCs/>
          <w:iCs/>
          <w:sz w:val="22"/>
        </w:rPr>
        <w:t>5</w:t>
      </w:r>
      <w:r w:rsidR="00CD447B">
        <w:rPr>
          <w:b/>
          <w:bCs/>
          <w:iCs/>
          <w:sz w:val="22"/>
        </w:rPr>
        <w:t xml:space="preserve"> </w:t>
      </w:r>
      <w:r w:rsidR="00337541" w:rsidRPr="00963AA3">
        <w:rPr>
          <w:b/>
          <w:bCs/>
          <w:iCs/>
          <w:sz w:val="22"/>
        </w:rPr>
        <w:t>tys. kontroli</w:t>
      </w:r>
      <w:r w:rsidR="00612025">
        <w:rPr>
          <w:b/>
          <w:bCs/>
          <w:iCs/>
          <w:sz w:val="22"/>
        </w:rPr>
        <w:t xml:space="preserve"> w zakresie ogólnego bezpieczeństwa produktów, </w:t>
      </w:r>
      <w:r w:rsidR="00B76C81">
        <w:rPr>
          <w:b/>
          <w:bCs/>
          <w:iCs/>
          <w:sz w:val="22"/>
        </w:rPr>
        <w:t xml:space="preserve">oceny </w:t>
      </w:r>
      <w:r w:rsidR="00F4335F">
        <w:rPr>
          <w:b/>
          <w:bCs/>
          <w:iCs/>
          <w:sz w:val="22"/>
        </w:rPr>
        <w:t>zgodności wyrobów z wymaganiami oraz pozostałych kontroli dotyczących produktów nieżywnościowych i usług</w:t>
      </w:r>
      <w:r w:rsidR="00B7737D">
        <w:rPr>
          <w:b/>
          <w:bCs/>
          <w:iCs/>
          <w:sz w:val="22"/>
        </w:rPr>
        <w:t xml:space="preserve"> </w:t>
      </w:r>
      <w:r w:rsidR="00B7737D" w:rsidRPr="00573B17">
        <w:rPr>
          <w:bCs/>
          <w:iCs/>
          <w:sz w:val="22"/>
        </w:rPr>
        <w:t>(</w:t>
      </w:r>
      <w:r w:rsidR="001A32CE" w:rsidRPr="00573B17">
        <w:rPr>
          <w:bCs/>
          <w:iCs/>
          <w:sz w:val="22"/>
        </w:rPr>
        <w:t xml:space="preserve">w tym </w:t>
      </w:r>
      <w:r w:rsidR="00F4335F" w:rsidRPr="00573B17">
        <w:rPr>
          <w:bCs/>
          <w:iCs/>
          <w:sz w:val="22"/>
        </w:rPr>
        <w:t>obowiązków informacyjnych</w:t>
      </w:r>
      <w:r w:rsidR="001A32CE" w:rsidRPr="00573B17">
        <w:rPr>
          <w:bCs/>
          <w:iCs/>
          <w:sz w:val="22"/>
        </w:rPr>
        <w:t xml:space="preserve"> przedsiębiorców</w:t>
      </w:r>
      <w:r w:rsidR="00B7737D" w:rsidRPr="00573B17">
        <w:rPr>
          <w:bCs/>
          <w:iCs/>
          <w:sz w:val="22"/>
        </w:rPr>
        <w:t>)</w:t>
      </w:r>
      <w:r w:rsidR="00337541" w:rsidRPr="00573B17">
        <w:rPr>
          <w:bCs/>
          <w:iCs/>
          <w:sz w:val="22"/>
        </w:rPr>
        <w:t>.</w:t>
      </w:r>
      <w:r w:rsidR="00892001" w:rsidRPr="00573B17">
        <w:rPr>
          <w:rFonts w:cs="Arial"/>
          <w:iCs/>
          <w:sz w:val="22"/>
          <w:lang w:eastAsia="pl-PL"/>
        </w:rPr>
        <w:t xml:space="preserve"> </w:t>
      </w:r>
      <w:r w:rsidR="00C67A6B" w:rsidRPr="00963AA3">
        <w:rPr>
          <w:rFonts w:cs="Arial"/>
          <w:iCs/>
          <w:sz w:val="22"/>
          <w:lang w:eastAsia="pl-PL"/>
        </w:rPr>
        <w:t>Sprawdza</w:t>
      </w:r>
      <w:r w:rsidR="00313BC6" w:rsidRPr="00963AA3">
        <w:rPr>
          <w:rFonts w:cs="Arial"/>
          <w:iCs/>
          <w:sz w:val="22"/>
          <w:lang w:eastAsia="pl-PL"/>
        </w:rPr>
        <w:t>ła</w:t>
      </w:r>
      <w:r w:rsidR="00982A60" w:rsidRPr="00963AA3">
        <w:rPr>
          <w:bCs/>
          <w:iCs/>
          <w:sz w:val="22"/>
        </w:rPr>
        <w:t xml:space="preserve"> </w:t>
      </w:r>
      <w:r w:rsidR="00963AA3" w:rsidRPr="00963AA3">
        <w:rPr>
          <w:bCs/>
          <w:iCs/>
          <w:sz w:val="22"/>
        </w:rPr>
        <w:t>m.in. zabawki, produkty wchodzące w skład wyprawki szkolnej, odzież</w:t>
      </w:r>
      <w:r w:rsidR="00703826" w:rsidRPr="00963AA3">
        <w:rPr>
          <w:bCs/>
          <w:iCs/>
          <w:sz w:val="22"/>
        </w:rPr>
        <w:t xml:space="preserve">, </w:t>
      </w:r>
      <w:r w:rsidR="00963AA3" w:rsidRPr="00963AA3">
        <w:rPr>
          <w:bCs/>
          <w:iCs/>
          <w:sz w:val="22"/>
        </w:rPr>
        <w:t>kosmetyki, opony. P</w:t>
      </w:r>
      <w:r w:rsidR="00703826" w:rsidRPr="00963AA3">
        <w:rPr>
          <w:bCs/>
          <w:iCs/>
          <w:sz w:val="22"/>
        </w:rPr>
        <w:t>rowadz</w:t>
      </w:r>
      <w:r w:rsidR="00963AA3" w:rsidRPr="00963AA3">
        <w:rPr>
          <w:bCs/>
          <w:iCs/>
          <w:sz w:val="22"/>
        </w:rPr>
        <w:t>iła</w:t>
      </w:r>
      <w:r w:rsidR="00703826" w:rsidRPr="00963AA3">
        <w:rPr>
          <w:bCs/>
          <w:iCs/>
          <w:sz w:val="22"/>
        </w:rPr>
        <w:t xml:space="preserve"> także kontrole </w:t>
      </w:r>
      <w:r w:rsidR="00703826" w:rsidRPr="00963AA3">
        <w:rPr>
          <w:rFonts w:cs="Arial"/>
          <w:bCs/>
          <w:iCs/>
          <w:sz w:val="22"/>
          <w:lang w:eastAsia="pl-PL"/>
        </w:rPr>
        <w:t xml:space="preserve">legalności i rzetelności działania </w:t>
      </w:r>
      <w:r w:rsidR="00963AA3" w:rsidRPr="00963AA3">
        <w:rPr>
          <w:rFonts w:cs="Arial"/>
          <w:bCs/>
          <w:iCs/>
          <w:sz w:val="22"/>
          <w:lang w:eastAsia="pl-PL"/>
        </w:rPr>
        <w:t>usług rekreacyjnych</w:t>
      </w:r>
      <w:r w:rsidR="00703826" w:rsidRPr="00963AA3">
        <w:rPr>
          <w:bCs/>
          <w:iCs/>
          <w:sz w:val="22"/>
        </w:rPr>
        <w:t xml:space="preserve"> </w:t>
      </w:r>
      <w:r w:rsidR="00963AA3" w:rsidRPr="00963AA3">
        <w:rPr>
          <w:rFonts w:cs="Arial"/>
          <w:bCs/>
          <w:iCs/>
          <w:sz w:val="22"/>
          <w:lang w:eastAsia="pl-PL"/>
        </w:rPr>
        <w:t>oraz</w:t>
      </w:r>
      <w:r w:rsidR="00703826" w:rsidRPr="00963AA3">
        <w:rPr>
          <w:rFonts w:cs="Arial"/>
          <w:bCs/>
          <w:iCs/>
          <w:sz w:val="22"/>
          <w:lang w:eastAsia="pl-PL"/>
        </w:rPr>
        <w:t xml:space="preserve"> punktów gastronomicznych</w:t>
      </w:r>
      <w:r w:rsidR="00963AA3" w:rsidRPr="00963AA3">
        <w:rPr>
          <w:rFonts w:cs="Arial"/>
          <w:bCs/>
          <w:iCs/>
          <w:sz w:val="22"/>
          <w:lang w:eastAsia="pl-PL"/>
        </w:rPr>
        <w:t xml:space="preserve"> w miejscowościach wypoczynkowych</w:t>
      </w:r>
      <w:r w:rsidR="00506F9F" w:rsidRPr="00963AA3">
        <w:rPr>
          <w:rFonts w:cs="Arial"/>
          <w:bCs/>
          <w:sz w:val="22"/>
          <w:lang w:eastAsia="pl-PL"/>
        </w:rPr>
        <w:t>.</w:t>
      </w:r>
    </w:p>
    <w:p w14:paraId="5EA88244" w14:textId="1F14D69E" w:rsidR="00C80572" w:rsidRPr="00C80572" w:rsidRDefault="00B55564" w:rsidP="00C80572">
      <w:pPr>
        <w:widowControl w:val="0"/>
        <w:tabs>
          <w:tab w:val="left" w:pos="-142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sz w:val="22"/>
          <w:lang w:eastAsia="pl-PL"/>
        </w:rPr>
      </w:pPr>
      <w:r w:rsidRPr="00C80572">
        <w:rPr>
          <w:sz w:val="22"/>
        </w:rPr>
        <w:t>UOKiK jest odpowiedzialny również za zarządzanie systemem monitorowania i kontrolowania jakości paliw.</w:t>
      </w:r>
      <w:r w:rsidR="00FB6D34" w:rsidRPr="00C80572">
        <w:rPr>
          <w:rFonts w:cs="Arial"/>
          <w:sz w:val="22"/>
          <w:lang w:eastAsia="pl-PL"/>
        </w:rPr>
        <w:t xml:space="preserve"> W</w:t>
      </w:r>
      <w:r w:rsidR="006E5BEC" w:rsidRPr="00C80572">
        <w:rPr>
          <w:rFonts w:cs="Arial"/>
          <w:sz w:val="22"/>
          <w:lang w:eastAsia="pl-PL"/>
        </w:rPr>
        <w:t xml:space="preserve"> zakresie </w:t>
      </w:r>
      <w:r w:rsidR="006E5BEC" w:rsidRPr="00C80572">
        <w:rPr>
          <w:rFonts w:cs="Arial"/>
          <w:b/>
          <w:sz w:val="22"/>
          <w:lang w:eastAsia="pl-PL"/>
        </w:rPr>
        <w:t>paliw ciekłych</w:t>
      </w:r>
      <w:r w:rsidR="006E5BEC" w:rsidRPr="00C80572">
        <w:rPr>
          <w:rFonts w:cs="Arial"/>
          <w:sz w:val="22"/>
          <w:lang w:eastAsia="pl-PL"/>
        </w:rPr>
        <w:t>, w</w:t>
      </w:r>
      <w:r w:rsidR="00FB6D34" w:rsidRPr="00C80572">
        <w:rPr>
          <w:rFonts w:cs="Arial"/>
          <w:sz w:val="22"/>
          <w:lang w:eastAsia="pl-PL"/>
        </w:rPr>
        <w:t xml:space="preserve"> 202</w:t>
      </w:r>
      <w:r w:rsidR="009D344E" w:rsidRPr="00C80572">
        <w:rPr>
          <w:rFonts w:cs="Arial"/>
          <w:sz w:val="22"/>
          <w:lang w:eastAsia="pl-PL"/>
        </w:rPr>
        <w:t>1</w:t>
      </w:r>
      <w:r w:rsidR="00FB6D34" w:rsidRPr="00C80572">
        <w:rPr>
          <w:rFonts w:cs="Arial"/>
          <w:sz w:val="22"/>
          <w:lang w:eastAsia="pl-PL"/>
        </w:rPr>
        <w:t xml:space="preserve"> r. IH skontrolowała łącznie </w:t>
      </w:r>
      <w:r w:rsidR="009D344E" w:rsidRPr="00C80572">
        <w:rPr>
          <w:rFonts w:cs="Arial"/>
          <w:b/>
          <w:bCs/>
          <w:sz w:val="22"/>
          <w:lang w:eastAsia="pl-PL"/>
        </w:rPr>
        <w:t>17</w:t>
      </w:r>
      <w:r w:rsidR="00FB6D34" w:rsidRPr="00C80572">
        <w:rPr>
          <w:rFonts w:cs="Arial"/>
          <w:b/>
          <w:bCs/>
          <w:sz w:val="22"/>
          <w:lang w:eastAsia="pl-PL"/>
        </w:rPr>
        <w:t>9</w:t>
      </w:r>
      <w:r w:rsidR="004C2CF1" w:rsidRPr="00C80572">
        <w:rPr>
          <w:rFonts w:cs="Arial"/>
          <w:b/>
          <w:bCs/>
          <w:sz w:val="22"/>
          <w:lang w:eastAsia="pl-PL"/>
        </w:rPr>
        <w:t>2</w:t>
      </w:r>
      <w:r w:rsidR="00FB6D34" w:rsidRPr="00C80572">
        <w:rPr>
          <w:rFonts w:cs="Arial"/>
          <w:b/>
          <w:bCs/>
          <w:sz w:val="22"/>
          <w:lang w:eastAsia="pl-PL"/>
        </w:rPr>
        <w:t xml:space="preserve"> </w:t>
      </w:r>
      <w:r w:rsidR="00FB6D34" w:rsidRPr="00C80572">
        <w:rPr>
          <w:rFonts w:cs="Arial"/>
          <w:b/>
          <w:sz w:val="22"/>
          <w:lang w:eastAsia="pl-PL"/>
        </w:rPr>
        <w:t>stacje paliw</w:t>
      </w:r>
      <w:r w:rsidR="00AF0812" w:rsidRPr="00C80572">
        <w:rPr>
          <w:rFonts w:cs="Arial"/>
          <w:b/>
          <w:sz w:val="22"/>
          <w:lang w:eastAsia="pl-PL"/>
        </w:rPr>
        <w:t xml:space="preserve"> </w:t>
      </w:r>
      <w:r w:rsidR="00FB6D34" w:rsidRPr="00C80572">
        <w:rPr>
          <w:rFonts w:cs="Arial"/>
          <w:b/>
          <w:sz w:val="22"/>
          <w:lang w:eastAsia="pl-PL"/>
        </w:rPr>
        <w:t xml:space="preserve">i </w:t>
      </w:r>
      <w:r w:rsidR="009D344E" w:rsidRPr="00C80572">
        <w:rPr>
          <w:rFonts w:cs="Arial"/>
          <w:b/>
          <w:sz w:val="22"/>
          <w:lang w:eastAsia="pl-PL"/>
        </w:rPr>
        <w:t>53</w:t>
      </w:r>
      <w:r w:rsidR="00FB6D34" w:rsidRPr="00C80572">
        <w:rPr>
          <w:rFonts w:cs="Arial"/>
          <w:b/>
          <w:sz w:val="22"/>
          <w:lang w:eastAsia="pl-PL"/>
        </w:rPr>
        <w:t xml:space="preserve"> hurtownie</w:t>
      </w:r>
      <w:r w:rsidR="00765F2C" w:rsidRPr="00C80572">
        <w:rPr>
          <w:rFonts w:cs="Arial"/>
          <w:b/>
          <w:sz w:val="22"/>
          <w:lang w:eastAsia="pl-PL"/>
        </w:rPr>
        <w:t xml:space="preserve"> oraz </w:t>
      </w:r>
      <w:r w:rsidR="00316F5F" w:rsidRPr="00C80572">
        <w:rPr>
          <w:b/>
          <w:bCs/>
          <w:sz w:val="22"/>
        </w:rPr>
        <w:t>producentów i magazynujących paliwa</w:t>
      </w:r>
      <w:r w:rsidR="00FB6D34" w:rsidRPr="00C80572">
        <w:rPr>
          <w:rFonts w:cs="Arial"/>
          <w:sz w:val="22"/>
          <w:lang w:eastAsia="pl-PL"/>
        </w:rPr>
        <w:t>. W</w:t>
      </w:r>
      <w:r w:rsidR="00C80572" w:rsidRPr="00C80572">
        <w:rPr>
          <w:rFonts w:cs="Arial"/>
          <w:sz w:val="22"/>
          <w:lang w:eastAsia="pl-PL"/>
        </w:rPr>
        <w:t>ymagań jakościowych nie spełniły</w:t>
      </w:r>
      <w:r w:rsidR="00FB6D34" w:rsidRPr="00C80572">
        <w:rPr>
          <w:rFonts w:cs="Arial"/>
          <w:sz w:val="22"/>
          <w:lang w:eastAsia="pl-PL"/>
        </w:rPr>
        <w:t xml:space="preserve"> </w:t>
      </w:r>
      <w:r w:rsidR="00C80572" w:rsidRPr="00C80572">
        <w:rPr>
          <w:rFonts w:cs="Arial"/>
          <w:sz w:val="22"/>
          <w:lang w:eastAsia="pl-PL"/>
        </w:rPr>
        <w:t>22</w:t>
      </w:r>
      <w:r w:rsidR="00FB6D34" w:rsidRPr="00C80572">
        <w:rPr>
          <w:rFonts w:cs="Arial"/>
          <w:b/>
          <w:sz w:val="22"/>
          <w:lang w:eastAsia="pl-PL"/>
        </w:rPr>
        <w:t xml:space="preserve"> </w:t>
      </w:r>
      <w:r w:rsidR="00FB6D34" w:rsidRPr="00C80572">
        <w:rPr>
          <w:rFonts w:cs="Arial"/>
          <w:sz w:val="22"/>
          <w:lang w:eastAsia="pl-PL"/>
        </w:rPr>
        <w:t xml:space="preserve">z </w:t>
      </w:r>
      <w:r w:rsidR="00C80572" w:rsidRPr="00C80572">
        <w:rPr>
          <w:rFonts w:cs="Arial"/>
          <w:sz w:val="22"/>
          <w:lang w:eastAsia="pl-PL"/>
        </w:rPr>
        <w:t>780</w:t>
      </w:r>
      <w:r w:rsidR="00FB6D34" w:rsidRPr="00C80572">
        <w:rPr>
          <w:rFonts w:cs="Arial"/>
          <w:sz w:val="22"/>
          <w:lang w:eastAsia="pl-PL"/>
        </w:rPr>
        <w:t xml:space="preserve"> przebadanych laboratoryjnie próbek</w:t>
      </w:r>
      <w:r w:rsidR="00C80572" w:rsidRPr="00C80572">
        <w:rPr>
          <w:rFonts w:cs="Arial"/>
          <w:sz w:val="22"/>
          <w:lang w:eastAsia="pl-PL"/>
        </w:rPr>
        <w:t xml:space="preserve"> oleju napędowego, 5 z 786 próbek benzyny i 1 z 345 próbek gazu LPG</w:t>
      </w:r>
      <w:r w:rsidR="00FB6D34" w:rsidRPr="00C80572">
        <w:rPr>
          <w:rFonts w:cs="Arial"/>
          <w:sz w:val="22"/>
          <w:lang w:eastAsia="pl-PL"/>
        </w:rPr>
        <w:t xml:space="preserve">. </w:t>
      </w:r>
      <w:r w:rsidR="00C80572" w:rsidRPr="00C80572">
        <w:rPr>
          <w:rFonts w:cs="Arial"/>
          <w:sz w:val="22"/>
          <w:lang w:eastAsia="pl-PL"/>
        </w:rPr>
        <w:t xml:space="preserve">Ponadto w 2021 r. Inspekcja Handlowa przeprowadziła </w:t>
      </w:r>
      <w:r w:rsidR="00C80572" w:rsidRPr="00C80572">
        <w:rPr>
          <w:rFonts w:cs="Arial"/>
          <w:b/>
          <w:sz w:val="22"/>
        </w:rPr>
        <w:t>487</w:t>
      </w:r>
      <w:r w:rsidR="00C80572" w:rsidRPr="00C80572">
        <w:rPr>
          <w:rFonts w:cs="Arial"/>
          <w:sz w:val="22"/>
        </w:rPr>
        <w:t xml:space="preserve"> kontroli jakości </w:t>
      </w:r>
      <w:hyperlink r:id="rId31" w:history="1">
        <w:r w:rsidR="00C80572" w:rsidRPr="00691F7C">
          <w:rPr>
            <w:rStyle w:val="Hipercze"/>
            <w:rFonts w:cs="Arial"/>
            <w:sz w:val="22"/>
          </w:rPr>
          <w:t>paliw stałych</w:t>
        </w:r>
      </w:hyperlink>
      <w:r w:rsidR="00C80572" w:rsidRPr="00C80572">
        <w:rPr>
          <w:rFonts w:cs="Arial"/>
          <w:sz w:val="22"/>
        </w:rPr>
        <w:t xml:space="preserve">, a także </w:t>
      </w:r>
      <w:r w:rsidR="00C80572" w:rsidRPr="00C80572">
        <w:rPr>
          <w:rFonts w:cs="Arial"/>
          <w:b/>
          <w:sz w:val="22"/>
        </w:rPr>
        <w:t>9</w:t>
      </w:r>
      <w:r w:rsidR="007974B8">
        <w:rPr>
          <w:rFonts w:cs="Arial"/>
          <w:b/>
          <w:sz w:val="22"/>
        </w:rPr>
        <w:t>40</w:t>
      </w:r>
      <w:r w:rsidR="00C80572" w:rsidRPr="00C80572">
        <w:rPr>
          <w:rFonts w:cs="Arial"/>
          <w:b/>
          <w:sz w:val="22"/>
        </w:rPr>
        <w:t xml:space="preserve"> </w:t>
      </w:r>
      <w:r w:rsidR="00C80572" w:rsidRPr="00C80572">
        <w:rPr>
          <w:rFonts w:cs="Arial"/>
          <w:sz w:val="22"/>
        </w:rPr>
        <w:t>kontroli świadectw jakości paliw stałych.</w:t>
      </w:r>
    </w:p>
    <w:p w14:paraId="70C00B69" w14:textId="3E48E541" w:rsidR="00A6410C" w:rsidRPr="003D676B" w:rsidRDefault="00A6410C" w:rsidP="003D676B">
      <w:pPr>
        <w:spacing w:after="240" w:line="360" w:lineRule="auto"/>
        <w:jc w:val="both"/>
        <w:rPr>
          <w:b/>
          <w:bCs/>
          <w:sz w:val="22"/>
        </w:rPr>
      </w:pPr>
      <w:r w:rsidRPr="003D676B">
        <w:rPr>
          <w:b/>
          <w:bCs/>
          <w:sz w:val="22"/>
        </w:rPr>
        <w:lastRenderedPageBreak/>
        <w:t>Laboratoria</w:t>
      </w:r>
    </w:p>
    <w:p w14:paraId="357253DD" w14:textId="27D4FE23" w:rsidR="00D716EC" w:rsidRDefault="00A6410C" w:rsidP="00D716EC">
      <w:pPr>
        <w:spacing w:after="240" w:line="360" w:lineRule="auto"/>
        <w:jc w:val="both"/>
        <w:rPr>
          <w:rFonts w:cs="Arial"/>
          <w:sz w:val="22"/>
          <w:lang w:eastAsia="pl-PL"/>
        </w:rPr>
      </w:pPr>
      <w:r w:rsidRPr="003D676B">
        <w:rPr>
          <w:rFonts w:cs="Arial"/>
          <w:sz w:val="22"/>
          <w:lang w:eastAsia="pl-PL"/>
        </w:rPr>
        <w:t xml:space="preserve">Badania laboratoryjne służą </w:t>
      </w:r>
      <w:r w:rsidRPr="00555364">
        <w:rPr>
          <w:rFonts w:cs="Arial"/>
          <w:bCs/>
          <w:sz w:val="22"/>
          <w:lang w:eastAsia="pl-PL"/>
        </w:rPr>
        <w:t>eliminowaniu z rynku produktów niespełniających wymagań lub stwarzających zagrożenie dla konsumentów</w:t>
      </w:r>
      <w:r w:rsidR="00313BC6" w:rsidRPr="00313BC6">
        <w:rPr>
          <w:rFonts w:cs="Arial"/>
          <w:bCs/>
          <w:sz w:val="22"/>
          <w:lang w:eastAsia="pl-PL"/>
        </w:rPr>
        <w:t>.</w:t>
      </w:r>
      <w:r w:rsidR="002B1F90" w:rsidRPr="00313BC6">
        <w:rPr>
          <w:rFonts w:cs="Arial"/>
          <w:sz w:val="22"/>
          <w:lang w:eastAsia="pl-PL"/>
        </w:rPr>
        <w:t xml:space="preserve"> </w:t>
      </w:r>
      <w:r w:rsidRPr="00313BC6">
        <w:rPr>
          <w:rFonts w:cs="Arial"/>
          <w:sz w:val="22"/>
          <w:lang w:eastAsia="pl-PL"/>
        </w:rPr>
        <w:t>W 202</w:t>
      </w:r>
      <w:r w:rsidR="00313BC6" w:rsidRPr="00313BC6">
        <w:rPr>
          <w:rFonts w:cs="Arial"/>
          <w:sz w:val="22"/>
          <w:lang w:eastAsia="pl-PL"/>
        </w:rPr>
        <w:t>1</w:t>
      </w:r>
      <w:r w:rsidRPr="00313BC6">
        <w:rPr>
          <w:rFonts w:cs="Arial"/>
          <w:sz w:val="22"/>
          <w:lang w:eastAsia="pl-PL"/>
        </w:rPr>
        <w:t xml:space="preserve"> r. </w:t>
      </w:r>
      <w:r w:rsidRPr="00313BC6">
        <w:rPr>
          <w:rFonts w:cs="Arial"/>
          <w:b/>
          <w:sz w:val="22"/>
          <w:lang w:eastAsia="pl-PL"/>
        </w:rPr>
        <w:t>laboratoria UOKiK</w:t>
      </w:r>
      <w:r w:rsidRPr="00313BC6">
        <w:rPr>
          <w:rFonts w:cs="Arial"/>
          <w:sz w:val="22"/>
          <w:lang w:eastAsia="pl-PL"/>
        </w:rPr>
        <w:t xml:space="preserve"> </w:t>
      </w:r>
      <w:r w:rsidRPr="00313BC6">
        <w:rPr>
          <w:rFonts w:cs="Arial"/>
          <w:b/>
          <w:sz w:val="22"/>
          <w:lang w:eastAsia="pl-PL"/>
        </w:rPr>
        <w:t>zbadały łącznie 1</w:t>
      </w:r>
      <w:r w:rsidR="00AE02AD">
        <w:rPr>
          <w:rFonts w:cs="Arial"/>
          <w:b/>
          <w:sz w:val="22"/>
          <w:lang w:eastAsia="pl-PL"/>
        </w:rPr>
        <w:t xml:space="preserve"> </w:t>
      </w:r>
      <w:r w:rsidR="00313BC6" w:rsidRPr="00313BC6">
        <w:rPr>
          <w:rFonts w:cs="Arial"/>
          <w:b/>
          <w:sz w:val="22"/>
          <w:lang w:eastAsia="pl-PL"/>
        </w:rPr>
        <w:t>7</w:t>
      </w:r>
      <w:r w:rsidRPr="00313BC6">
        <w:rPr>
          <w:rFonts w:cs="Arial"/>
          <w:b/>
          <w:sz w:val="22"/>
          <w:lang w:eastAsia="pl-PL"/>
        </w:rPr>
        <w:t xml:space="preserve">77 próbek, w których </w:t>
      </w:r>
      <w:r w:rsidR="00AE02AD">
        <w:rPr>
          <w:rFonts w:cs="Arial"/>
          <w:b/>
          <w:sz w:val="22"/>
          <w:lang w:eastAsia="pl-PL"/>
        </w:rPr>
        <w:t>oznaczono</w:t>
      </w:r>
      <w:r w:rsidRPr="00313BC6">
        <w:rPr>
          <w:rFonts w:cs="Arial"/>
          <w:b/>
          <w:sz w:val="22"/>
          <w:lang w:eastAsia="pl-PL"/>
        </w:rPr>
        <w:t xml:space="preserve"> 2</w:t>
      </w:r>
      <w:r w:rsidR="00313BC6" w:rsidRPr="00313BC6">
        <w:rPr>
          <w:rFonts w:cs="Arial"/>
          <w:b/>
          <w:sz w:val="22"/>
          <w:lang w:eastAsia="pl-PL"/>
        </w:rPr>
        <w:t xml:space="preserve">2 </w:t>
      </w:r>
      <w:r w:rsidR="00AE02AD">
        <w:rPr>
          <w:rFonts w:cs="Arial"/>
          <w:b/>
          <w:sz w:val="22"/>
          <w:lang w:eastAsia="pl-PL"/>
        </w:rPr>
        <w:t>958</w:t>
      </w:r>
      <w:r w:rsidR="00AE02AD" w:rsidRPr="00313BC6">
        <w:rPr>
          <w:rFonts w:cs="Arial"/>
          <w:b/>
          <w:sz w:val="22"/>
          <w:lang w:eastAsia="pl-PL"/>
        </w:rPr>
        <w:t xml:space="preserve"> </w:t>
      </w:r>
      <w:r w:rsidRPr="00313BC6">
        <w:rPr>
          <w:rFonts w:cs="Arial"/>
          <w:b/>
          <w:sz w:val="22"/>
          <w:lang w:eastAsia="pl-PL"/>
        </w:rPr>
        <w:t>parametrów</w:t>
      </w:r>
      <w:r w:rsidRPr="00313BC6">
        <w:rPr>
          <w:rFonts w:cs="Arial"/>
          <w:sz w:val="22"/>
          <w:lang w:eastAsia="pl-PL"/>
        </w:rPr>
        <w:t>.</w:t>
      </w:r>
      <w:r w:rsidR="00313BC6">
        <w:rPr>
          <w:rFonts w:cs="Arial"/>
          <w:sz w:val="22"/>
          <w:lang w:eastAsia="pl-PL"/>
        </w:rPr>
        <w:t xml:space="preserve"> </w:t>
      </w:r>
    </w:p>
    <w:p w14:paraId="45755015" w14:textId="0EE7D83E" w:rsidR="00D716EC" w:rsidRPr="00EE3178" w:rsidRDefault="00D716EC" w:rsidP="00EE3178">
      <w:pPr>
        <w:spacing w:after="240" w:line="360" w:lineRule="auto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Laboratoria</w:t>
      </w:r>
      <w:r w:rsidR="008E4719">
        <w:rPr>
          <w:rFonts w:cs="Arial"/>
          <w:sz w:val="22"/>
          <w:lang w:eastAsia="pl-PL"/>
        </w:rPr>
        <w:t xml:space="preserve"> Urzędu</w:t>
      </w:r>
      <w:r>
        <w:rPr>
          <w:rFonts w:cs="Arial"/>
          <w:sz w:val="22"/>
          <w:lang w:eastAsia="pl-PL"/>
        </w:rPr>
        <w:t xml:space="preserve"> brały także aktywny udział w </w:t>
      </w:r>
      <w:r w:rsidRPr="0023619F">
        <w:rPr>
          <w:rFonts w:cs="Arial"/>
          <w:b/>
          <w:sz w:val="22"/>
          <w:lang w:eastAsia="pl-PL"/>
        </w:rPr>
        <w:t xml:space="preserve">projekcie </w:t>
      </w:r>
      <w:r w:rsidR="00640E12">
        <w:rPr>
          <w:rFonts w:cs="Arial"/>
          <w:b/>
          <w:sz w:val="22"/>
          <w:lang w:eastAsia="pl-PL"/>
        </w:rPr>
        <w:t xml:space="preserve">edukacyjnym </w:t>
      </w:r>
      <w:hyperlink r:id="rId32" w:history="1">
        <w:r w:rsidRPr="00EE3178">
          <w:rPr>
            <w:rStyle w:val="Hipercze"/>
            <w:rFonts w:cs="Arial"/>
            <w:b/>
            <w:sz w:val="22"/>
            <w:lang w:eastAsia="pl-PL"/>
          </w:rPr>
          <w:t>„UOKiK testuje”</w:t>
        </w:r>
      </w:hyperlink>
      <w:r>
        <w:rPr>
          <w:rFonts w:cs="Arial"/>
          <w:sz w:val="22"/>
          <w:lang w:eastAsia="pl-PL"/>
        </w:rPr>
        <w:t xml:space="preserve">. W 2021 r. eksperci wzięli pod lupę </w:t>
      </w:r>
      <w:r w:rsidR="00EE3178">
        <w:rPr>
          <w:rFonts w:cs="Arial"/>
          <w:sz w:val="22"/>
          <w:lang w:eastAsia="pl-PL"/>
        </w:rPr>
        <w:t xml:space="preserve">jakość </w:t>
      </w:r>
      <w:r>
        <w:rPr>
          <w:rFonts w:cs="Arial"/>
          <w:sz w:val="22"/>
          <w:lang w:eastAsia="pl-PL"/>
        </w:rPr>
        <w:t>m.in. proszk</w:t>
      </w:r>
      <w:r w:rsidR="00EE3178">
        <w:rPr>
          <w:rFonts w:cs="Arial"/>
          <w:sz w:val="22"/>
          <w:lang w:eastAsia="pl-PL"/>
        </w:rPr>
        <w:t>ów</w:t>
      </w:r>
      <w:r>
        <w:rPr>
          <w:rFonts w:cs="Arial"/>
          <w:sz w:val="22"/>
          <w:lang w:eastAsia="pl-PL"/>
        </w:rPr>
        <w:t xml:space="preserve"> do</w:t>
      </w:r>
      <w:r w:rsidR="00EE3178">
        <w:rPr>
          <w:rFonts w:cs="Arial"/>
          <w:sz w:val="22"/>
          <w:lang w:eastAsia="pl-PL"/>
        </w:rPr>
        <w:t xml:space="preserve"> prania białych tkanin, pieluch</w:t>
      </w:r>
      <w:r>
        <w:rPr>
          <w:rFonts w:cs="Arial"/>
          <w:sz w:val="22"/>
          <w:lang w:eastAsia="pl-PL"/>
        </w:rPr>
        <w:t>, tornistr</w:t>
      </w:r>
      <w:r w:rsidR="00EE3178">
        <w:rPr>
          <w:rFonts w:cs="Arial"/>
          <w:sz w:val="22"/>
          <w:lang w:eastAsia="pl-PL"/>
        </w:rPr>
        <w:t>ów</w:t>
      </w:r>
      <w:r>
        <w:rPr>
          <w:rFonts w:cs="Arial"/>
          <w:sz w:val="22"/>
          <w:lang w:eastAsia="pl-PL"/>
        </w:rPr>
        <w:t>, zimow</w:t>
      </w:r>
      <w:r w:rsidR="00EE3178">
        <w:rPr>
          <w:rFonts w:cs="Arial"/>
          <w:sz w:val="22"/>
          <w:lang w:eastAsia="pl-PL"/>
        </w:rPr>
        <w:t>ych</w:t>
      </w:r>
      <w:r>
        <w:rPr>
          <w:rFonts w:cs="Arial"/>
          <w:sz w:val="22"/>
          <w:lang w:eastAsia="pl-PL"/>
        </w:rPr>
        <w:t xml:space="preserve"> płyn</w:t>
      </w:r>
      <w:r w:rsidR="00EE3178">
        <w:rPr>
          <w:rFonts w:cs="Arial"/>
          <w:sz w:val="22"/>
          <w:lang w:eastAsia="pl-PL"/>
        </w:rPr>
        <w:t>ów</w:t>
      </w:r>
      <w:r>
        <w:rPr>
          <w:rFonts w:cs="Arial"/>
          <w:sz w:val="22"/>
          <w:lang w:eastAsia="pl-PL"/>
        </w:rPr>
        <w:t xml:space="preserve"> do spryskiwaczy. Łącznie w ramach tego projektu w ubiegłym roku</w:t>
      </w:r>
      <w:r w:rsidRPr="00D716EC">
        <w:rPr>
          <w:rFonts w:cs="Arial"/>
          <w:sz w:val="22"/>
          <w:lang w:eastAsia="pl-PL"/>
        </w:rPr>
        <w:t xml:space="preserve"> </w:t>
      </w:r>
      <w:r w:rsidR="00573B17">
        <w:rPr>
          <w:rFonts w:cs="Arial"/>
          <w:sz w:val="22"/>
          <w:lang w:eastAsia="pl-PL"/>
        </w:rPr>
        <w:t>przeprowadzono</w:t>
      </w:r>
      <w:r w:rsidR="0023619F">
        <w:rPr>
          <w:rFonts w:cs="Arial"/>
          <w:sz w:val="22"/>
          <w:lang w:eastAsia="pl-PL"/>
        </w:rPr>
        <w:t xml:space="preserve"> 1</w:t>
      </w:r>
      <w:r w:rsidR="007E4588">
        <w:rPr>
          <w:rFonts w:cs="Arial"/>
          <w:sz w:val="22"/>
          <w:lang w:eastAsia="pl-PL"/>
        </w:rPr>
        <w:t xml:space="preserve"> </w:t>
      </w:r>
      <w:r w:rsidRPr="00D716EC">
        <w:rPr>
          <w:rFonts w:cs="Arial"/>
          <w:sz w:val="22"/>
          <w:lang w:eastAsia="pl-PL"/>
        </w:rPr>
        <w:t xml:space="preserve">132 </w:t>
      </w:r>
      <w:r w:rsidR="00573B17" w:rsidRPr="00D716EC">
        <w:rPr>
          <w:rFonts w:cs="Arial"/>
          <w:sz w:val="22"/>
          <w:lang w:eastAsia="pl-PL"/>
        </w:rPr>
        <w:t>test</w:t>
      </w:r>
      <w:r w:rsidR="00573B17">
        <w:rPr>
          <w:rFonts w:cs="Arial"/>
          <w:sz w:val="22"/>
          <w:lang w:eastAsia="pl-PL"/>
        </w:rPr>
        <w:t>y</w:t>
      </w:r>
      <w:r w:rsidRPr="00D716EC">
        <w:rPr>
          <w:rFonts w:cs="Arial"/>
          <w:sz w:val="22"/>
          <w:lang w:eastAsia="pl-PL"/>
        </w:rPr>
        <w:t>, wykonując 23 596 oznaczeń</w:t>
      </w:r>
      <w:r>
        <w:rPr>
          <w:rFonts w:cs="Arial"/>
          <w:sz w:val="22"/>
          <w:lang w:eastAsia="pl-PL"/>
        </w:rPr>
        <w:t>.</w:t>
      </w:r>
      <w:r w:rsidR="00EE3178">
        <w:rPr>
          <w:rFonts w:cs="Arial"/>
          <w:sz w:val="22"/>
          <w:lang w:eastAsia="pl-PL"/>
        </w:rPr>
        <w:t xml:space="preserve"> </w:t>
      </w:r>
      <w:r w:rsidR="00EE3178" w:rsidRPr="00EE3178">
        <w:rPr>
          <w:rFonts w:cs="Arial"/>
          <w:sz w:val="22"/>
        </w:rPr>
        <w:t>Dzięki wynikom tych testów konsumenci mogą w bardziej świadomy sposób dokonywać zakupów.</w:t>
      </w:r>
    </w:p>
    <w:p w14:paraId="2C861449" w14:textId="79733452" w:rsidR="00B55564" w:rsidRPr="003D676B" w:rsidRDefault="00B55564" w:rsidP="003D676B">
      <w:pPr>
        <w:spacing w:after="240" w:line="360" w:lineRule="auto"/>
        <w:jc w:val="both"/>
        <w:rPr>
          <w:b/>
          <w:sz w:val="22"/>
        </w:rPr>
      </w:pPr>
      <w:r w:rsidRPr="003D676B">
        <w:rPr>
          <w:b/>
          <w:sz w:val="22"/>
        </w:rPr>
        <w:t>L</w:t>
      </w:r>
      <w:r w:rsidR="000C79A4" w:rsidRPr="003D676B">
        <w:rPr>
          <w:b/>
          <w:sz w:val="22"/>
        </w:rPr>
        <w:t>egislacja</w:t>
      </w:r>
    </w:p>
    <w:p w14:paraId="58858208" w14:textId="69883AA5" w:rsidR="0098441B" w:rsidRPr="00A073C9" w:rsidRDefault="0098441B" w:rsidP="0098441B">
      <w:pPr>
        <w:spacing w:after="240" w:line="360" w:lineRule="auto"/>
        <w:jc w:val="both"/>
        <w:rPr>
          <w:rFonts w:cs="Arial"/>
          <w:sz w:val="22"/>
        </w:rPr>
      </w:pPr>
      <w:r w:rsidRPr="00A073C9">
        <w:rPr>
          <w:rFonts w:cs="Arial"/>
          <w:sz w:val="22"/>
        </w:rPr>
        <w:t>Prezes UOKiK jako organ administracji centralnej angażuje się t</w:t>
      </w:r>
      <w:r>
        <w:rPr>
          <w:rFonts w:cs="Arial"/>
          <w:sz w:val="22"/>
        </w:rPr>
        <w:t>eż</w:t>
      </w:r>
      <w:r w:rsidRPr="00A073C9">
        <w:rPr>
          <w:rFonts w:cs="Arial"/>
          <w:sz w:val="22"/>
        </w:rPr>
        <w:t xml:space="preserve"> w tworzenie skutecznych regulacji prawnych. W 2021 r. Urząd zarówno opracowywał projekty aktów prawnych</w:t>
      </w:r>
      <w:r>
        <w:rPr>
          <w:rFonts w:cs="Arial"/>
          <w:sz w:val="22"/>
        </w:rPr>
        <w:t>,</w:t>
      </w:r>
      <w:r w:rsidRPr="00A073C9">
        <w:rPr>
          <w:rFonts w:cs="Arial"/>
          <w:sz w:val="22"/>
        </w:rPr>
        <w:t xml:space="preserve"> jak i przeanalizował </w:t>
      </w:r>
      <w:r w:rsidRPr="00A073C9">
        <w:rPr>
          <w:rFonts w:cs="Arial"/>
          <w:b/>
          <w:sz w:val="22"/>
        </w:rPr>
        <w:t>ponad 900 projektów ustaw i rozporządzeń</w:t>
      </w:r>
      <w:r w:rsidRPr="00A073C9">
        <w:rPr>
          <w:rFonts w:cs="Arial"/>
          <w:sz w:val="22"/>
        </w:rPr>
        <w:t xml:space="preserve">, aby zaopiniować je pod względem potencjalnego wpływu na konkurencję i sytuację konsumentów. </w:t>
      </w:r>
    </w:p>
    <w:p w14:paraId="7392CB1C" w14:textId="2388D67E" w:rsidR="00A6410C" w:rsidRDefault="00A6410C" w:rsidP="003D676B">
      <w:pPr>
        <w:spacing w:after="240" w:line="360" w:lineRule="auto"/>
        <w:jc w:val="both"/>
        <w:rPr>
          <w:b/>
          <w:bCs/>
          <w:sz w:val="22"/>
        </w:rPr>
      </w:pPr>
      <w:r w:rsidRPr="00D70A86">
        <w:rPr>
          <w:b/>
          <w:bCs/>
          <w:sz w:val="22"/>
        </w:rPr>
        <w:t>Edukacja</w:t>
      </w:r>
    </w:p>
    <w:p w14:paraId="5399775D" w14:textId="2900896D" w:rsidR="006105DF" w:rsidRPr="00D70A86" w:rsidRDefault="006105DF" w:rsidP="006105DF">
      <w:pPr>
        <w:spacing w:after="240" w:line="360" w:lineRule="auto"/>
        <w:jc w:val="center"/>
        <w:rPr>
          <w:b/>
          <w:bCs/>
          <w:sz w:val="22"/>
        </w:rPr>
      </w:pPr>
      <w:r>
        <w:rPr>
          <w:b/>
          <w:bCs/>
          <w:noProof/>
          <w:sz w:val="22"/>
          <w:lang w:eastAsia="pl-PL"/>
        </w:rPr>
        <w:drawing>
          <wp:inline distT="0" distB="0" distL="0" distR="0" wp14:anchorId="14A4DD96" wp14:editId="765B3FA5">
            <wp:extent cx="5425440" cy="3485391"/>
            <wp:effectExtent l="0" t="0" r="381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sumowanie_2021_finał-01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491" cy="348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30B1" w14:textId="6DD8FC95" w:rsidR="00D70A86" w:rsidRPr="00D70A86" w:rsidRDefault="00A6410C" w:rsidP="00D70A86">
      <w:pPr>
        <w:spacing w:after="240" w:line="360" w:lineRule="auto"/>
        <w:jc w:val="both"/>
        <w:rPr>
          <w:rFonts w:cs="Arial"/>
          <w:bCs/>
          <w:sz w:val="22"/>
        </w:rPr>
      </w:pPr>
      <w:r w:rsidRPr="00D70A86">
        <w:rPr>
          <w:rFonts w:cs="Arial"/>
          <w:sz w:val="22"/>
        </w:rPr>
        <w:lastRenderedPageBreak/>
        <w:t>Ważna w działaniach UOKiK jest również edukacja konsumentów i przedsiębiorców. W tym kontekście warto wspomnieć</w:t>
      </w:r>
      <w:r w:rsidR="00555364" w:rsidRPr="00D70A86">
        <w:rPr>
          <w:rFonts w:cs="Arial"/>
          <w:sz w:val="22"/>
        </w:rPr>
        <w:t xml:space="preserve"> o</w:t>
      </w:r>
      <w:r w:rsidRPr="00D70A86">
        <w:rPr>
          <w:rFonts w:cs="Arial"/>
          <w:sz w:val="22"/>
        </w:rPr>
        <w:t xml:space="preserve"> </w:t>
      </w:r>
      <w:r w:rsidRPr="00D70A86">
        <w:rPr>
          <w:rFonts w:cs="Arial"/>
          <w:b/>
          <w:sz w:val="22"/>
        </w:rPr>
        <w:t>kampanii</w:t>
      </w:r>
      <w:r w:rsidR="00D70A86" w:rsidRPr="00D70A86">
        <w:rPr>
          <w:rFonts w:cs="Arial"/>
          <w:b/>
          <w:sz w:val="22"/>
        </w:rPr>
        <w:t xml:space="preserve"> społecznej</w:t>
      </w:r>
      <w:r w:rsidR="00985ED2">
        <w:rPr>
          <w:rFonts w:cs="Arial"/>
          <w:b/>
          <w:sz w:val="22"/>
        </w:rPr>
        <w:t xml:space="preserve"> Prezesa UOKiK</w:t>
      </w:r>
      <w:r w:rsidRPr="00D70A86">
        <w:rPr>
          <w:rFonts w:cs="Arial"/>
          <w:b/>
          <w:sz w:val="22"/>
        </w:rPr>
        <w:t xml:space="preserve"> </w:t>
      </w:r>
      <w:hyperlink r:id="rId34" w:history="1">
        <w:r w:rsidRPr="00D70A86">
          <w:rPr>
            <w:rStyle w:val="Hipercze"/>
            <w:rFonts w:cs="Arial"/>
            <w:b/>
            <w:bCs/>
            <w:sz w:val="22"/>
          </w:rPr>
          <w:t>„</w:t>
        </w:r>
        <w:r w:rsidR="00D70A86" w:rsidRPr="00D70A86">
          <w:rPr>
            <w:rStyle w:val="Hipercze"/>
            <w:rFonts w:cs="Arial"/>
            <w:b/>
            <w:bCs/>
            <w:sz w:val="22"/>
          </w:rPr>
          <w:t>Policz i nie przelicz się</w:t>
        </w:r>
        <w:r w:rsidR="007D733F">
          <w:rPr>
            <w:rStyle w:val="Hipercze"/>
            <w:rFonts w:cs="Arial"/>
            <w:b/>
            <w:bCs/>
            <w:sz w:val="22"/>
          </w:rPr>
          <w:t>!</w:t>
        </w:r>
        <w:r w:rsidRPr="00D70A86">
          <w:rPr>
            <w:rStyle w:val="Hipercze"/>
            <w:rFonts w:cs="Arial"/>
            <w:b/>
            <w:bCs/>
            <w:sz w:val="22"/>
          </w:rPr>
          <w:t>”</w:t>
        </w:r>
      </w:hyperlink>
      <w:r w:rsidR="00D70A86" w:rsidRPr="00D70A86">
        <w:rPr>
          <w:rFonts w:cs="Arial"/>
          <w:sz w:val="22"/>
        </w:rPr>
        <w:t xml:space="preserve">, </w:t>
      </w:r>
      <w:r w:rsidR="00D70A86">
        <w:rPr>
          <w:rFonts w:cs="Arial"/>
          <w:sz w:val="22"/>
        </w:rPr>
        <w:t xml:space="preserve">która </w:t>
      </w:r>
      <w:r w:rsidR="00D70A86" w:rsidRPr="00D70A86">
        <w:rPr>
          <w:rFonts w:cs="Arial"/>
          <w:sz w:val="22"/>
        </w:rPr>
        <w:t>zwracała uwagę konsumentów na</w:t>
      </w:r>
      <w:r w:rsidR="00D70A86" w:rsidRPr="00D70A86">
        <w:rPr>
          <w:rFonts w:cs="Arial"/>
          <w:b/>
          <w:bCs/>
          <w:sz w:val="22"/>
        </w:rPr>
        <w:t xml:space="preserve"> </w:t>
      </w:r>
      <w:r w:rsidR="00D70A86" w:rsidRPr="00D70A86">
        <w:rPr>
          <w:rFonts w:cs="Arial"/>
          <w:bCs/>
          <w:sz w:val="22"/>
        </w:rPr>
        <w:t>ryzyko utraty oszczędności i konieczność zachowania ostrożności</w:t>
      </w:r>
      <w:r w:rsidR="00D70A86" w:rsidRPr="00D70A86">
        <w:rPr>
          <w:rFonts w:cs="Arial"/>
          <w:sz w:val="22"/>
        </w:rPr>
        <w:t xml:space="preserve"> </w:t>
      </w:r>
      <w:r w:rsidR="00D70A86" w:rsidRPr="00D70A86">
        <w:rPr>
          <w:rFonts w:cs="Arial"/>
          <w:bCs/>
          <w:sz w:val="22"/>
        </w:rPr>
        <w:t>przy podejmowaniu decyzji inwestycyjnych</w:t>
      </w:r>
      <w:r w:rsidR="00985ED2">
        <w:rPr>
          <w:rFonts w:cs="Arial"/>
          <w:bCs/>
          <w:sz w:val="22"/>
        </w:rPr>
        <w:t xml:space="preserve">, </w:t>
      </w:r>
      <w:bookmarkStart w:id="5" w:name="_Hlk96673715"/>
      <w:r w:rsidR="00985ED2">
        <w:rPr>
          <w:rFonts w:cs="Arial"/>
          <w:bCs/>
          <w:sz w:val="22"/>
        </w:rPr>
        <w:t>w tym na rynku nieruchomości</w:t>
      </w:r>
      <w:bookmarkEnd w:id="5"/>
      <w:r w:rsidRPr="00D70A86">
        <w:rPr>
          <w:rFonts w:cs="Arial"/>
          <w:sz w:val="22"/>
        </w:rPr>
        <w:t xml:space="preserve">. </w:t>
      </w:r>
      <w:r w:rsidR="00D70A86">
        <w:rPr>
          <w:rFonts w:cs="Arial"/>
          <w:sz w:val="22"/>
        </w:rPr>
        <w:t xml:space="preserve">W ramach kampanii </w:t>
      </w:r>
      <w:r w:rsidR="00985ED2">
        <w:rPr>
          <w:rFonts w:cs="Arial"/>
          <w:sz w:val="22"/>
        </w:rPr>
        <w:t>Urząd</w:t>
      </w:r>
      <w:r w:rsidR="00D70A86" w:rsidRPr="00D70A86">
        <w:rPr>
          <w:rFonts w:cs="Arial"/>
          <w:bCs/>
          <w:sz w:val="22"/>
        </w:rPr>
        <w:t xml:space="preserve"> przygotował</w:t>
      </w:r>
      <w:r w:rsidR="00D70A86">
        <w:rPr>
          <w:rFonts w:cs="Arial"/>
          <w:bCs/>
          <w:sz w:val="22"/>
        </w:rPr>
        <w:t xml:space="preserve"> </w:t>
      </w:r>
      <w:r w:rsidR="00D70A86" w:rsidRPr="00D70A86">
        <w:rPr>
          <w:rFonts w:cs="Arial"/>
          <w:sz w:val="22"/>
        </w:rPr>
        <w:t>dwa spoty</w:t>
      </w:r>
      <w:r w:rsidR="00D70A86">
        <w:rPr>
          <w:rFonts w:cs="Arial"/>
          <w:bCs/>
          <w:sz w:val="22"/>
        </w:rPr>
        <w:t xml:space="preserve"> </w:t>
      </w:r>
      <w:r w:rsidR="00D70A86" w:rsidRPr="00D70A86">
        <w:rPr>
          <w:rFonts w:cs="Arial"/>
          <w:bCs/>
          <w:sz w:val="22"/>
        </w:rPr>
        <w:t>emi</w:t>
      </w:r>
      <w:r w:rsidR="00D70A86">
        <w:rPr>
          <w:rFonts w:cs="Arial"/>
          <w:bCs/>
          <w:sz w:val="22"/>
        </w:rPr>
        <w:t>towane</w:t>
      </w:r>
      <w:r w:rsidR="00D70A86" w:rsidRPr="00D70A86">
        <w:rPr>
          <w:rFonts w:cs="Arial"/>
          <w:bCs/>
          <w:sz w:val="22"/>
        </w:rPr>
        <w:t xml:space="preserve"> w telewizji i radiu</w:t>
      </w:r>
      <w:r w:rsidR="00D70A86">
        <w:rPr>
          <w:rFonts w:cs="Arial"/>
          <w:bCs/>
          <w:sz w:val="22"/>
        </w:rPr>
        <w:t>, webinar z ekspertami</w:t>
      </w:r>
      <w:r w:rsidR="00640E12">
        <w:rPr>
          <w:rFonts w:cs="Arial"/>
          <w:bCs/>
          <w:sz w:val="22"/>
        </w:rPr>
        <w:t xml:space="preserve"> oraz </w:t>
      </w:r>
      <w:hyperlink r:id="rId35" w:history="1">
        <w:r w:rsidR="00D70A86" w:rsidRPr="00640E12">
          <w:rPr>
            <w:rStyle w:val="Hipercze"/>
            <w:sz w:val="22"/>
          </w:rPr>
          <w:t>kalkulator</w:t>
        </w:r>
      </w:hyperlink>
      <w:r w:rsidR="00D70A86" w:rsidRPr="00D70A86">
        <w:rPr>
          <w:rFonts w:cs="Arial"/>
          <w:bCs/>
          <w:sz w:val="22"/>
        </w:rPr>
        <w:t xml:space="preserve">, dzięki któremu </w:t>
      </w:r>
      <w:r w:rsidR="0033606B">
        <w:rPr>
          <w:rFonts w:cs="Arial"/>
          <w:bCs/>
          <w:sz w:val="22"/>
        </w:rPr>
        <w:t>konsumenci mogą</w:t>
      </w:r>
      <w:r w:rsidR="00D70A86" w:rsidRPr="00D70A86">
        <w:rPr>
          <w:rFonts w:cs="Arial"/>
          <w:bCs/>
          <w:sz w:val="22"/>
        </w:rPr>
        <w:t xml:space="preserve"> sprawdzić, o ile orientacyjnie wzrośnie rata kredytu</w:t>
      </w:r>
      <w:r w:rsidR="00640E12">
        <w:rPr>
          <w:rFonts w:cs="Arial"/>
          <w:bCs/>
          <w:sz w:val="22"/>
        </w:rPr>
        <w:t xml:space="preserve"> hipotecznego</w:t>
      </w:r>
      <w:r w:rsidR="00D70A86" w:rsidRPr="00D70A86">
        <w:rPr>
          <w:rFonts w:cs="Arial"/>
          <w:bCs/>
          <w:sz w:val="22"/>
        </w:rPr>
        <w:t xml:space="preserve">, gdy </w:t>
      </w:r>
      <w:r w:rsidR="00640E12">
        <w:rPr>
          <w:rFonts w:cs="Arial"/>
          <w:bCs/>
          <w:sz w:val="22"/>
        </w:rPr>
        <w:t>zmieni się jego oprocentowanie.</w:t>
      </w:r>
    </w:p>
    <w:p w14:paraId="1313D0D1" w14:textId="717DC5F3" w:rsidR="003D676B" w:rsidRDefault="00640E12" w:rsidP="003D676B">
      <w:pPr>
        <w:spacing w:after="240" w:line="360" w:lineRule="auto"/>
        <w:jc w:val="both"/>
        <w:rPr>
          <w:rFonts w:cs="Tahoma"/>
          <w:sz w:val="22"/>
          <w:shd w:val="clear" w:color="auto" w:fill="FFFFFF"/>
        </w:rPr>
      </w:pPr>
      <w:r w:rsidRPr="00640E12">
        <w:rPr>
          <w:rFonts w:cs="Tahoma"/>
          <w:sz w:val="22"/>
          <w:shd w:val="clear" w:color="auto" w:fill="FFFFFF"/>
        </w:rPr>
        <w:t xml:space="preserve">W </w:t>
      </w:r>
      <w:r w:rsidR="00EE3178">
        <w:rPr>
          <w:rFonts w:cs="Tahoma"/>
          <w:sz w:val="22"/>
          <w:shd w:val="clear" w:color="auto" w:fill="FFFFFF"/>
        </w:rPr>
        <w:t>2021 r. UOKiK</w:t>
      </w:r>
      <w:r w:rsidRPr="00640E12">
        <w:rPr>
          <w:rFonts w:cs="Tahoma"/>
          <w:sz w:val="22"/>
          <w:shd w:val="clear" w:color="auto" w:fill="FFFFFF"/>
        </w:rPr>
        <w:t xml:space="preserve"> wspólnie z Fundacją ProPublika uruchomi</w:t>
      </w:r>
      <w:r w:rsidR="00EE3178">
        <w:rPr>
          <w:rFonts w:cs="Tahoma"/>
          <w:sz w:val="22"/>
          <w:shd w:val="clear" w:color="auto" w:fill="FFFFFF"/>
        </w:rPr>
        <w:t>ł</w:t>
      </w:r>
      <w:r w:rsidRPr="00640E12">
        <w:rPr>
          <w:rFonts w:cs="Tahoma"/>
          <w:sz w:val="22"/>
          <w:shd w:val="clear" w:color="auto" w:fill="FFFFFF"/>
        </w:rPr>
        <w:t xml:space="preserve"> </w:t>
      </w:r>
      <w:r w:rsidR="00EE3178">
        <w:rPr>
          <w:rFonts w:cs="Tahoma"/>
          <w:sz w:val="22"/>
          <w:shd w:val="clear" w:color="auto" w:fill="FFFFFF"/>
        </w:rPr>
        <w:t>p</w:t>
      </w:r>
      <w:r w:rsidRPr="00640E12">
        <w:rPr>
          <w:rFonts w:cs="Tahoma"/>
          <w:sz w:val="22"/>
          <w:shd w:val="clear" w:color="auto" w:fill="FFFFFF"/>
        </w:rPr>
        <w:t>ortal</w:t>
      </w:r>
      <w:r>
        <w:rPr>
          <w:rFonts w:cs="Tahoma"/>
          <w:sz w:val="22"/>
          <w:shd w:val="clear" w:color="auto" w:fill="FFFFFF"/>
        </w:rPr>
        <w:t xml:space="preserve"> </w:t>
      </w:r>
      <w:hyperlink r:id="rId36" w:history="1">
        <w:r w:rsidRPr="00640E12">
          <w:rPr>
            <w:rStyle w:val="Hipercze"/>
            <w:sz w:val="22"/>
          </w:rPr>
          <w:t>konsument.edu.pl</w:t>
        </w:r>
      </w:hyperlink>
      <w:r w:rsidR="00EE3178">
        <w:rPr>
          <w:rFonts w:cs="Tahoma"/>
          <w:sz w:val="22"/>
          <w:shd w:val="clear" w:color="auto" w:fill="FFFFFF"/>
        </w:rPr>
        <w:t xml:space="preserve">. Jest to </w:t>
      </w:r>
      <w:r w:rsidR="00EE3178" w:rsidRPr="00640E12">
        <w:rPr>
          <w:rFonts w:cs="Tahoma"/>
          <w:sz w:val="22"/>
          <w:shd w:val="clear" w:color="auto" w:fill="FFFFFF"/>
        </w:rPr>
        <w:t>interaktywne narzędzie edukacyjne</w:t>
      </w:r>
      <w:r w:rsidR="00EE3178">
        <w:rPr>
          <w:rFonts w:cs="Tahoma"/>
          <w:sz w:val="22"/>
          <w:shd w:val="clear" w:color="auto" w:fill="FFFFFF"/>
        </w:rPr>
        <w:t xml:space="preserve"> przeznaczone m.in. do wykorzystania w szkołach. </w:t>
      </w:r>
      <w:r w:rsidRPr="00640E12">
        <w:rPr>
          <w:rFonts w:cs="Tahoma"/>
          <w:sz w:val="22"/>
          <w:shd w:val="clear" w:color="auto" w:fill="FFFFFF"/>
        </w:rPr>
        <w:t>Strona przypomina społeczność, gdzie pośród normalnych postów pojawiają się oferty-pułapki</w:t>
      </w:r>
      <w:r w:rsidR="00EE3178">
        <w:rPr>
          <w:rFonts w:cs="Tahoma"/>
          <w:sz w:val="22"/>
          <w:shd w:val="clear" w:color="auto" w:fill="FFFFFF"/>
        </w:rPr>
        <w:t>, mające pokazać</w:t>
      </w:r>
      <w:r w:rsidR="00EE3178" w:rsidRPr="00640E12">
        <w:rPr>
          <w:rFonts w:cs="Tahoma"/>
          <w:sz w:val="22"/>
          <w:shd w:val="clear" w:color="auto" w:fill="FFFFFF"/>
        </w:rPr>
        <w:t xml:space="preserve"> zagroże</w:t>
      </w:r>
      <w:r w:rsidR="00EE3178">
        <w:rPr>
          <w:rFonts w:cs="Tahoma"/>
          <w:sz w:val="22"/>
          <w:shd w:val="clear" w:color="auto" w:fill="FFFFFF"/>
        </w:rPr>
        <w:t>nia, jakie</w:t>
      </w:r>
      <w:r w:rsidR="00EE3178" w:rsidRPr="00640E12">
        <w:rPr>
          <w:rFonts w:cs="Tahoma"/>
          <w:sz w:val="22"/>
          <w:shd w:val="clear" w:color="auto" w:fill="FFFFFF"/>
        </w:rPr>
        <w:t xml:space="preserve"> czyhają na konsumentów w sieci.</w:t>
      </w:r>
      <w:r w:rsidR="00AF29B3">
        <w:rPr>
          <w:rFonts w:cs="Tahoma"/>
          <w:sz w:val="22"/>
          <w:shd w:val="clear" w:color="auto" w:fill="FFFFFF"/>
        </w:rPr>
        <w:t xml:space="preserve"> </w:t>
      </w:r>
    </w:p>
    <w:p w14:paraId="3E71A37F" w14:textId="551200FA" w:rsidR="00212019" w:rsidRDefault="00212019" w:rsidP="00212019">
      <w:pPr>
        <w:spacing w:after="240" w:line="360" w:lineRule="auto"/>
        <w:jc w:val="both"/>
        <w:rPr>
          <w:rFonts w:cs="Arial"/>
          <w:sz w:val="22"/>
        </w:rPr>
      </w:pPr>
      <w:r w:rsidRPr="0025054C">
        <w:rPr>
          <w:rFonts w:cs="Arial"/>
          <w:sz w:val="22"/>
        </w:rPr>
        <w:t xml:space="preserve">Światowy Dzień Konsumenta trwał w 2021 roku cały tydzień. W tym czasie UOKiK promował </w:t>
      </w:r>
      <w:r w:rsidR="00AF29B3">
        <w:rPr>
          <w:rFonts w:cs="Arial"/>
          <w:sz w:val="22"/>
        </w:rPr>
        <w:t>portal konsument.edu.pl</w:t>
      </w:r>
      <w:r w:rsidRPr="0025054C">
        <w:rPr>
          <w:rFonts w:cs="Arial"/>
          <w:sz w:val="22"/>
        </w:rPr>
        <w:t xml:space="preserve"> m.in. podczas lekcji w szkołach</w:t>
      </w:r>
      <w:r>
        <w:rPr>
          <w:rFonts w:cs="Arial"/>
          <w:sz w:val="22"/>
        </w:rPr>
        <w:t>,</w:t>
      </w:r>
      <w:r w:rsidRPr="0025054C">
        <w:rPr>
          <w:rFonts w:cs="Arial"/>
          <w:sz w:val="22"/>
        </w:rPr>
        <w:t xml:space="preserve"> uruchomił również stronę </w:t>
      </w:r>
      <w:hyperlink r:id="rId37" w:history="1">
        <w:r w:rsidRPr="00FA69CB">
          <w:rPr>
            <w:rStyle w:val="Hipercze"/>
            <w:rFonts w:cs="Arial"/>
            <w:sz w:val="22"/>
          </w:rPr>
          <w:t>Światowy Dzień Konsumenta na Facebooku</w:t>
        </w:r>
      </w:hyperlink>
      <w:r w:rsidRPr="0025054C">
        <w:rPr>
          <w:rFonts w:cs="Arial"/>
          <w:sz w:val="22"/>
        </w:rPr>
        <w:t xml:space="preserve"> i zorganizował cykl wideoczatów, podczas których eksperci udzielali porad oraz opowiadali o prawach konsumentów. </w:t>
      </w:r>
    </w:p>
    <w:p w14:paraId="3E35EC67" w14:textId="385EC4FC" w:rsidR="00AF29B3" w:rsidRDefault="00AF29B3" w:rsidP="00AF29B3">
      <w:pPr>
        <w:spacing w:after="24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Natomiast z</w:t>
      </w:r>
      <w:r w:rsidR="001052EC">
        <w:rPr>
          <w:rFonts w:cs="Arial"/>
          <w:sz w:val="22"/>
        </w:rPr>
        <w:t xml:space="preserve"> okazji Światowego Dnia Konkurencji w grudniu 2021 r. wystartowała </w:t>
      </w:r>
      <w:hyperlink r:id="rId38" w:history="1">
        <w:r w:rsidR="001052EC" w:rsidRPr="00AF29B3">
          <w:rPr>
            <w:rStyle w:val="Hipercze"/>
            <w:rFonts w:cs="Arial"/>
            <w:sz w:val="22"/>
          </w:rPr>
          <w:t>kampania „Zmowa rynkowa? Daj sygnał!”</w:t>
        </w:r>
      </w:hyperlink>
      <w:r w:rsidR="001052EC">
        <w:rPr>
          <w:rFonts w:cs="Arial"/>
          <w:sz w:val="22"/>
        </w:rPr>
        <w:t xml:space="preserve">. Jej celem było </w:t>
      </w:r>
      <w:r w:rsidR="001052EC" w:rsidRPr="001052EC">
        <w:rPr>
          <w:rFonts w:cs="Arial"/>
          <w:sz w:val="22"/>
        </w:rPr>
        <w:t xml:space="preserve">zwiększenie świadomości na temat naruszeń prawa konkurencji </w:t>
      </w:r>
      <w:r w:rsidR="00F60A2D">
        <w:rPr>
          <w:rFonts w:cs="Arial"/>
          <w:sz w:val="22"/>
        </w:rPr>
        <w:t>i</w:t>
      </w:r>
      <w:r w:rsidR="001052EC" w:rsidRPr="001052EC">
        <w:rPr>
          <w:rFonts w:cs="Arial"/>
          <w:sz w:val="22"/>
        </w:rPr>
        <w:t xml:space="preserve"> zachęc</w:t>
      </w:r>
      <w:r w:rsidR="001052EC">
        <w:rPr>
          <w:rFonts w:cs="Arial"/>
          <w:sz w:val="22"/>
        </w:rPr>
        <w:t xml:space="preserve">enie </w:t>
      </w:r>
      <w:r w:rsidR="001052EC" w:rsidRPr="001052EC">
        <w:rPr>
          <w:rFonts w:cs="Arial"/>
          <w:sz w:val="22"/>
        </w:rPr>
        <w:t>do ich zgłaszania.</w:t>
      </w:r>
      <w:r w:rsidR="001052EC">
        <w:rPr>
          <w:rFonts w:cs="Arial"/>
          <w:sz w:val="22"/>
        </w:rPr>
        <w:t xml:space="preserve"> </w:t>
      </w:r>
      <w:r w:rsidR="001052EC" w:rsidRPr="001052EC">
        <w:rPr>
          <w:rFonts w:cs="Arial"/>
          <w:sz w:val="22"/>
        </w:rPr>
        <w:t xml:space="preserve">Działania informacyjne skierowane były do pracowników określonych branż, </w:t>
      </w:r>
      <w:r w:rsidR="00F60A2D">
        <w:rPr>
          <w:rFonts w:cs="Arial"/>
          <w:sz w:val="22"/>
        </w:rPr>
        <w:t>np.</w:t>
      </w:r>
      <w:r w:rsidR="001052EC" w:rsidRPr="001052EC">
        <w:rPr>
          <w:rFonts w:cs="Arial"/>
          <w:sz w:val="22"/>
        </w:rPr>
        <w:t xml:space="preserve"> motoryzacyjnej, budowlanej.</w:t>
      </w:r>
    </w:p>
    <w:p w14:paraId="357F3B00" w14:textId="1021887C" w:rsidR="001052EC" w:rsidRPr="00EE3178" w:rsidRDefault="00AF29B3" w:rsidP="001579DF">
      <w:pPr>
        <w:spacing w:after="24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</w:t>
      </w:r>
      <w:r w:rsidR="00F60A2D">
        <w:rPr>
          <w:rFonts w:cs="Arial"/>
          <w:sz w:val="22"/>
        </w:rPr>
        <w:t>zień</w:t>
      </w:r>
      <w:r>
        <w:rPr>
          <w:rFonts w:cs="Arial"/>
          <w:sz w:val="22"/>
        </w:rPr>
        <w:t xml:space="preserve"> Dziecka był z kolei okazją do akcji</w:t>
      </w:r>
      <w:r w:rsidRPr="0025054C">
        <w:rPr>
          <w:rFonts w:cs="Arial"/>
          <w:sz w:val="22"/>
        </w:rPr>
        <w:t xml:space="preserve"> „Tak bezpiecznej zabawCE”</w:t>
      </w:r>
      <w:r>
        <w:rPr>
          <w:rFonts w:cs="Arial"/>
          <w:sz w:val="22"/>
        </w:rPr>
        <w:t xml:space="preserve">, </w:t>
      </w:r>
      <w:r w:rsidRPr="0025054C">
        <w:rPr>
          <w:rFonts w:cs="Arial"/>
          <w:sz w:val="22"/>
        </w:rPr>
        <w:t xml:space="preserve">w ramach której </w:t>
      </w:r>
      <w:r>
        <w:rPr>
          <w:rFonts w:cs="Arial"/>
          <w:sz w:val="22"/>
        </w:rPr>
        <w:t xml:space="preserve">podczas </w:t>
      </w:r>
      <w:hyperlink r:id="rId39" w:history="1">
        <w:r w:rsidRPr="0025054C">
          <w:rPr>
            <w:rStyle w:val="Hipercze"/>
            <w:rFonts w:cs="Arial"/>
            <w:sz w:val="22"/>
          </w:rPr>
          <w:t>webinaru na YouTubie UOKiK</w:t>
        </w:r>
      </w:hyperlink>
      <w:r w:rsidRPr="0025054C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pracownicy laboratoriów oraz eksperci ds. nadzoru rynku opowiadali, jak kontrolują zabawki oraz doradzali, na co szczególnie zwracać uwagę kupując prezent maluchom. </w:t>
      </w:r>
    </w:p>
    <w:sectPr w:rsidR="001052EC" w:rsidRPr="00EE3178" w:rsidSect="000A7ECF">
      <w:headerReference w:type="default" r:id="rId40"/>
      <w:footerReference w:type="default" r:id="rId41"/>
      <w:pgSz w:w="11906" w:h="16838"/>
      <w:pgMar w:top="1985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881AA" w14:textId="77777777" w:rsidR="00CF2FBB" w:rsidRDefault="00CF2FBB">
      <w:r>
        <w:separator/>
      </w:r>
    </w:p>
  </w:endnote>
  <w:endnote w:type="continuationSeparator" w:id="0">
    <w:p w14:paraId="4F184C39" w14:textId="77777777" w:rsidR="00CF2FBB" w:rsidRDefault="00CF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77777777" w:rsidR="00AD2F5E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8D0E7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AD2F5E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677C" w14:textId="77777777" w:rsidR="00CF2FBB" w:rsidRDefault="00CF2FBB">
      <w:r>
        <w:separator/>
      </w:r>
    </w:p>
  </w:footnote>
  <w:footnote w:type="continuationSeparator" w:id="0">
    <w:p w14:paraId="002A2479" w14:textId="77777777" w:rsidR="00CF2FBB" w:rsidRDefault="00CF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AD2F5E" w:rsidRDefault="00C81210" w:rsidP="00AD2F5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8C6"/>
    <w:multiLevelType w:val="hybridMultilevel"/>
    <w:tmpl w:val="21F2AA9A"/>
    <w:lvl w:ilvl="0" w:tplc="1BB65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733F3"/>
    <w:multiLevelType w:val="hybridMultilevel"/>
    <w:tmpl w:val="AD784E2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A63601"/>
    <w:multiLevelType w:val="hybridMultilevel"/>
    <w:tmpl w:val="E3B2C882"/>
    <w:lvl w:ilvl="0" w:tplc="FFFFFFFF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EEA51B0"/>
    <w:multiLevelType w:val="hybridMultilevel"/>
    <w:tmpl w:val="CCB6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1033A"/>
    <w:multiLevelType w:val="hybridMultilevel"/>
    <w:tmpl w:val="D96A5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6169C"/>
    <w:multiLevelType w:val="hybridMultilevel"/>
    <w:tmpl w:val="23F6FC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0720A"/>
    <w:multiLevelType w:val="multilevel"/>
    <w:tmpl w:val="8CB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D36FE"/>
    <w:multiLevelType w:val="multilevel"/>
    <w:tmpl w:val="F67C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43"/>
    <w:rsid w:val="00011AF2"/>
    <w:rsid w:val="00012F08"/>
    <w:rsid w:val="00014D7A"/>
    <w:rsid w:val="00023634"/>
    <w:rsid w:val="0002523D"/>
    <w:rsid w:val="00040DD9"/>
    <w:rsid w:val="00040F9B"/>
    <w:rsid w:val="00042F96"/>
    <w:rsid w:val="000628EA"/>
    <w:rsid w:val="000651E9"/>
    <w:rsid w:val="00067777"/>
    <w:rsid w:val="00073AA7"/>
    <w:rsid w:val="00075976"/>
    <w:rsid w:val="00085C44"/>
    <w:rsid w:val="00085D71"/>
    <w:rsid w:val="000A74FA"/>
    <w:rsid w:val="000A7ECF"/>
    <w:rsid w:val="000B149D"/>
    <w:rsid w:val="000B1AC5"/>
    <w:rsid w:val="000B33F1"/>
    <w:rsid w:val="000B4D98"/>
    <w:rsid w:val="000B7247"/>
    <w:rsid w:val="000C08B8"/>
    <w:rsid w:val="000C3ED9"/>
    <w:rsid w:val="000C4DDF"/>
    <w:rsid w:val="000C79A4"/>
    <w:rsid w:val="000D0DCB"/>
    <w:rsid w:val="000D1C60"/>
    <w:rsid w:val="000D79F9"/>
    <w:rsid w:val="000F3A8A"/>
    <w:rsid w:val="000F6AA3"/>
    <w:rsid w:val="000F7CAC"/>
    <w:rsid w:val="001052EC"/>
    <w:rsid w:val="0010559C"/>
    <w:rsid w:val="00107844"/>
    <w:rsid w:val="00120FBD"/>
    <w:rsid w:val="0012424D"/>
    <w:rsid w:val="0013159A"/>
    <w:rsid w:val="00135455"/>
    <w:rsid w:val="00137654"/>
    <w:rsid w:val="00143310"/>
    <w:rsid w:val="00144E9C"/>
    <w:rsid w:val="001450D5"/>
    <w:rsid w:val="0014790E"/>
    <w:rsid w:val="00152247"/>
    <w:rsid w:val="001579DF"/>
    <w:rsid w:val="00160A50"/>
    <w:rsid w:val="00161094"/>
    <w:rsid w:val="00163DF9"/>
    <w:rsid w:val="001666D6"/>
    <w:rsid w:val="00166B5D"/>
    <w:rsid w:val="001675EF"/>
    <w:rsid w:val="00167E24"/>
    <w:rsid w:val="0017028A"/>
    <w:rsid w:val="0017784D"/>
    <w:rsid w:val="00190D5A"/>
    <w:rsid w:val="00196902"/>
    <w:rsid w:val="0019783A"/>
    <w:rsid w:val="001979B5"/>
    <w:rsid w:val="001A32CE"/>
    <w:rsid w:val="001A53D4"/>
    <w:rsid w:val="001A5F7C"/>
    <w:rsid w:val="001A6E5B"/>
    <w:rsid w:val="001A7451"/>
    <w:rsid w:val="001B169C"/>
    <w:rsid w:val="001B5835"/>
    <w:rsid w:val="001B6193"/>
    <w:rsid w:val="001C05C9"/>
    <w:rsid w:val="001C1FAD"/>
    <w:rsid w:val="001E188E"/>
    <w:rsid w:val="001E4F92"/>
    <w:rsid w:val="001F227E"/>
    <w:rsid w:val="001F4A73"/>
    <w:rsid w:val="001F6427"/>
    <w:rsid w:val="00204A61"/>
    <w:rsid w:val="00205580"/>
    <w:rsid w:val="00212019"/>
    <w:rsid w:val="002126D8"/>
    <w:rsid w:val="0021320D"/>
    <w:rsid w:val="00213DC9"/>
    <w:rsid w:val="002157BB"/>
    <w:rsid w:val="00220BA5"/>
    <w:rsid w:val="002262B5"/>
    <w:rsid w:val="0023023D"/>
    <w:rsid w:val="0023138D"/>
    <w:rsid w:val="0023619F"/>
    <w:rsid w:val="00240013"/>
    <w:rsid w:val="0024118E"/>
    <w:rsid w:val="00241BAC"/>
    <w:rsid w:val="00242C15"/>
    <w:rsid w:val="00246AF0"/>
    <w:rsid w:val="00255305"/>
    <w:rsid w:val="00255DE0"/>
    <w:rsid w:val="002569E3"/>
    <w:rsid w:val="00260382"/>
    <w:rsid w:val="00265B25"/>
    <w:rsid w:val="00266281"/>
    <w:rsid w:val="00266CB4"/>
    <w:rsid w:val="00267DD1"/>
    <w:rsid w:val="00267EFE"/>
    <w:rsid w:val="002700C1"/>
    <w:rsid w:val="00271D85"/>
    <w:rsid w:val="0027387D"/>
    <w:rsid w:val="00273BA2"/>
    <w:rsid w:val="00275FB6"/>
    <w:rsid w:val="002801AA"/>
    <w:rsid w:val="00283CAB"/>
    <w:rsid w:val="00287AAE"/>
    <w:rsid w:val="00295B34"/>
    <w:rsid w:val="002A00FA"/>
    <w:rsid w:val="002A5D69"/>
    <w:rsid w:val="002B1431"/>
    <w:rsid w:val="002B1DBF"/>
    <w:rsid w:val="002B1F90"/>
    <w:rsid w:val="002B2AF0"/>
    <w:rsid w:val="002B3A4D"/>
    <w:rsid w:val="002C0D5D"/>
    <w:rsid w:val="002C5364"/>
    <w:rsid w:val="002C692D"/>
    <w:rsid w:val="002C6ABE"/>
    <w:rsid w:val="002D1DA4"/>
    <w:rsid w:val="002D3643"/>
    <w:rsid w:val="002E0BC9"/>
    <w:rsid w:val="002E388C"/>
    <w:rsid w:val="002E3E94"/>
    <w:rsid w:val="002F1BF3"/>
    <w:rsid w:val="002F4D43"/>
    <w:rsid w:val="003056C6"/>
    <w:rsid w:val="00311B14"/>
    <w:rsid w:val="003121D0"/>
    <w:rsid w:val="00313BC6"/>
    <w:rsid w:val="00316F5F"/>
    <w:rsid w:val="00320AD6"/>
    <w:rsid w:val="00324306"/>
    <w:rsid w:val="003278D6"/>
    <w:rsid w:val="003300BA"/>
    <w:rsid w:val="003303F0"/>
    <w:rsid w:val="0033606B"/>
    <w:rsid w:val="00337541"/>
    <w:rsid w:val="0034059B"/>
    <w:rsid w:val="00346444"/>
    <w:rsid w:val="00346816"/>
    <w:rsid w:val="0035019C"/>
    <w:rsid w:val="00360248"/>
    <w:rsid w:val="00366A46"/>
    <w:rsid w:val="00371799"/>
    <w:rsid w:val="0037248C"/>
    <w:rsid w:val="00375A37"/>
    <w:rsid w:val="00377A0D"/>
    <w:rsid w:val="0038677D"/>
    <w:rsid w:val="00391E6A"/>
    <w:rsid w:val="003C5163"/>
    <w:rsid w:val="003D3FF4"/>
    <w:rsid w:val="003D4CB5"/>
    <w:rsid w:val="003D657A"/>
    <w:rsid w:val="003D676B"/>
    <w:rsid w:val="003D7161"/>
    <w:rsid w:val="003E2116"/>
    <w:rsid w:val="003E3F9D"/>
    <w:rsid w:val="003E69E5"/>
    <w:rsid w:val="003F4A6C"/>
    <w:rsid w:val="00401C54"/>
    <w:rsid w:val="00405245"/>
    <w:rsid w:val="00406EFE"/>
    <w:rsid w:val="0040748E"/>
    <w:rsid w:val="00412206"/>
    <w:rsid w:val="00420533"/>
    <w:rsid w:val="004252AC"/>
    <w:rsid w:val="00425D95"/>
    <w:rsid w:val="00427E08"/>
    <w:rsid w:val="004349BA"/>
    <w:rsid w:val="0043575C"/>
    <w:rsid w:val="004365C7"/>
    <w:rsid w:val="004425B7"/>
    <w:rsid w:val="00444A85"/>
    <w:rsid w:val="00452D9A"/>
    <w:rsid w:val="00460FE3"/>
    <w:rsid w:val="00462CFA"/>
    <w:rsid w:val="00477C78"/>
    <w:rsid w:val="00482949"/>
    <w:rsid w:val="00486DB1"/>
    <w:rsid w:val="00493E10"/>
    <w:rsid w:val="004965B7"/>
    <w:rsid w:val="004972E8"/>
    <w:rsid w:val="00497CC5"/>
    <w:rsid w:val="004A1DD8"/>
    <w:rsid w:val="004A5373"/>
    <w:rsid w:val="004B03A9"/>
    <w:rsid w:val="004C0F9E"/>
    <w:rsid w:val="004C1243"/>
    <w:rsid w:val="004C2CF1"/>
    <w:rsid w:val="004C5C26"/>
    <w:rsid w:val="004E3BCF"/>
    <w:rsid w:val="004E5EFE"/>
    <w:rsid w:val="004F5944"/>
    <w:rsid w:val="004F6C77"/>
    <w:rsid w:val="004F7E99"/>
    <w:rsid w:val="005003F9"/>
    <w:rsid w:val="0050417B"/>
    <w:rsid w:val="00506F9F"/>
    <w:rsid w:val="005116BF"/>
    <w:rsid w:val="005133CE"/>
    <w:rsid w:val="005219E1"/>
    <w:rsid w:val="00521BA3"/>
    <w:rsid w:val="00523E0D"/>
    <w:rsid w:val="005252E5"/>
    <w:rsid w:val="00525588"/>
    <w:rsid w:val="00526D88"/>
    <w:rsid w:val="0052710E"/>
    <w:rsid w:val="00530782"/>
    <w:rsid w:val="00531475"/>
    <w:rsid w:val="005329E5"/>
    <w:rsid w:val="005434FD"/>
    <w:rsid w:val="00543FF4"/>
    <w:rsid w:val="005442FC"/>
    <w:rsid w:val="00555364"/>
    <w:rsid w:val="0055631D"/>
    <w:rsid w:val="00561066"/>
    <w:rsid w:val="00565244"/>
    <w:rsid w:val="00565760"/>
    <w:rsid w:val="00572A38"/>
    <w:rsid w:val="00573B17"/>
    <w:rsid w:val="00580609"/>
    <w:rsid w:val="00583A20"/>
    <w:rsid w:val="00593935"/>
    <w:rsid w:val="00595E80"/>
    <w:rsid w:val="005973FD"/>
    <w:rsid w:val="00597C68"/>
    <w:rsid w:val="005A382B"/>
    <w:rsid w:val="005A4047"/>
    <w:rsid w:val="005B049A"/>
    <w:rsid w:val="005C0D39"/>
    <w:rsid w:val="005C6232"/>
    <w:rsid w:val="005C7524"/>
    <w:rsid w:val="005D0E3E"/>
    <w:rsid w:val="005D6F7A"/>
    <w:rsid w:val="005D734D"/>
    <w:rsid w:val="005E5831"/>
    <w:rsid w:val="005E5B88"/>
    <w:rsid w:val="005E6F3B"/>
    <w:rsid w:val="005E78EE"/>
    <w:rsid w:val="005F139F"/>
    <w:rsid w:val="005F1EBD"/>
    <w:rsid w:val="005F2CE0"/>
    <w:rsid w:val="00600455"/>
    <w:rsid w:val="006063D0"/>
    <w:rsid w:val="006105DF"/>
    <w:rsid w:val="00612025"/>
    <w:rsid w:val="00613C45"/>
    <w:rsid w:val="006145BC"/>
    <w:rsid w:val="00615A6C"/>
    <w:rsid w:val="006253FD"/>
    <w:rsid w:val="006302D4"/>
    <w:rsid w:val="0063316E"/>
    <w:rsid w:val="00633D4E"/>
    <w:rsid w:val="0063526F"/>
    <w:rsid w:val="00636FCC"/>
    <w:rsid w:val="00637E86"/>
    <w:rsid w:val="00640E12"/>
    <w:rsid w:val="006422DE"/>
    <w:rsid w:val="006439FA"/>
    <w:rsid w:val="00643BC8"/>
    <w:rsid w:val="006449B9"/>
    <w:rsid w:val="0065145B"/>
    <w:rsid w:val="00653583"/>
    <w:rsid w:val="006702D1"/>
    <w:rsid w:val="006744BD"/>
    <w:rsid w:val="0067485D"/>
    <w:rsid w:val="0067536C"/>
    <w:rsid w:val="00682223"/>
    <w:rsid w:val="00683989"/>
    <w:rsid w:val="00691F7C"/>
    <w:rsid w:val="00692831"/>
    <w:rsid w:val="006A2065"/>
    <w:rsid w:val="006A3D88"/>
    <w:rsid w:val="006A4A7A"/>
    <w:rsid w:val="006A72F4"/>
    <w:rsid w:val="006B0848"/>
    <w:rsid w:val="006B733D"/>
    <w:rsid w:val="006B73E2"/>
    <w:rsid w:val="006C2865"/>
    <w:rsid w:val="006C2D67"/>
    <w:rsid w:val="006C34AE"/>
    <w:rsid w:val="006C5C8D"/>
    <w:rsid w:val="006C67AF"/>
    <w:rsid w:val="006C731F"/>
    <w:rsid w:val="006D3DC5"/>
    <w:rsid w:val="006D40AC"/>
    <w:rsid w:val="006D6C90"/>
    <w:rsid w:val="006E3BAF"/>
    <w:rsid w:val="006E5BEC"/>
    <w:rsid w:val="006E6E30"/>
    <w:rsid w:val="006F107A"/>
    <w:rsid w:val="006F143B"/>
    <w:rsid w:val="00703826"/>
    <w:rsid w:val="007039EC"/>
    <w:rsid w:val="00714C68"/>
    <w:rsid w:val="0071572D"/>
    <w:rsid w:val="007157BA"/>
    <w:rsid w:val="007169F9"/>
    <w:rsid w:val="007174A6"/>
    <w:rsid w:val="007224B3"/>
    <w:rsid w:val="00727517"/>
    <w:rsid w:val="00731303"/>
    <w:rsid w:val="007326A3"/>
    <w:rsid w:val="00735EDA"/>
    <w:rsid w:val="0074017F"/>
    <w:rsid w:val="007402E0"/>
    <w:rsid w:val="00740821"/>
    <w:rsid w:val="00742A28"/>
    <w:rsid w:val="0074489D"/>
    <w:rsid w:val="00746549"/>
    <w:rsid w:val="007514AD"/>
    <w:rsid w:val="00752F25"/>
    <w:rsid w:val="00753014"/>
    <w:rsid w:val="0075524D"/>
    <w:rsid w:val="007560B0"/>
    <w:rsid w:val="007627D7"/>
    <w:rsid w:val="00765F2C"/>
    <w:rsid w:val="00771995"/>
    <w:rsid w:val="00776C4F"/>
    <w:rsid w:val="00783417"/>
    <w:rsid w:val="007838E4"/>
    <w:rsid w:val="007846DC"/>
    <w:rsid w:val="007940E9"/>
    <w:rsid w:val="00794F05"/>
    <w:rsid w:val="007974B8"/>
    <w:rsid w:val="007A19D8"/>
    <w:rsid w:val="007C297F"/>
    <w:rsid w:val="007D20AF"/>
    <w:rsid w:val="007D37A0"/>
    <w:rsid w:val="007D5CD6"/>
    <w:rsid w:val="007D733F"/>
    <w:rsid w:val="007E28A1"/>
    <w:rsid w:val="007E36E4"/>
    <w:rsid w:val="007E4588"/>
    <w:rsid w:val="007E6E53"/>
    <w:rsid w:val="007F0193"/>
    <w:rsid w:val="007F0ACE"/>
    <w:rsid w:val="007F5A40"/>
    <w:rsid w:val="00800F0E"/>
    <w:rsid w:val="008036E9"/>
    <w:rsid w:val="00804024"/>
    <w:rsid w:val="008075B3"/>
    <w:rsid w:val="00812939"/>
    <w:rsid w:val="00815D4B"/>
    <w:rsid w:val="0081753E"/>
    <w:rsid w:val="00823AB9"/>
    <w:rsid w:val="00825791"/>
    <w:rsid w:val="0083318B"/>
    <w:rsid w:val="008429F3"/>
    <w:rsid w:val="00844D80"/>
    <w:rsid w:val="0085010E"/>
    <w:rsid w:val="0085223E"/>
    <w:rsid w:val="0085454F"/>
    <w:rsid w:val="00855097"/>
    <w:rsid w:val="00864FAE"/>
    <w:rsid w:val="008658A2"/>
    <w:rsid w:val="008678F5"/>
    <w:rsid w:val="00870E92"/>
    <w:rsid w:val="0087354F"/>
    <w:rsid w:val="008736F8"/>
    <w:rsid w:val="00873EE9"/>
    <w:rsid w:val="00880084"/>
    <w:rsid w:val="00884EA4"/>
    <w:rsid w:val="00892001"/>
    <w:rsid w:val="008921E4"/>
    <w:rsid w:val="00896985"/>
    <w:rsid w:val="008A05FA"/>
    <w:rsid w:val="008B7D86"/>
    <w:rsid w:val="008C53D0"/>
    <w:rsid w:val="008C5D60"/>
    <w:rsid w:val="008D19FA"/>
    <w:rsid w:val="008D350E"/>
    <w:rsid w:val="008D4B2B"/>
    <w:rsid w:val="008D527A"/>
    <w:rsid w:val="008D56DA"/>
    <w:rsid w:val="008D5771"/>
    <w:rsid w:val="008E2DF7"/>
    <w:rsid w:val="008E4719"/>
    <w:rsid w:val="008F472E"/>
    <w:rsid w:val="00902556"/>
    <w:rsid w:val="00902D8B"/>
    <w:rsid w:val="0090338C"/>
    <w:rsid w:val="00905C77"/>
    <w:rsid w:val="0091048E"/>
    <w:rsid w:val="0091098F"/>
    <w:rsid w:val="009115A6"/>
    <w:rsid w:val="00915501"/>
    <w:rsid w:val="00920609"/>
    <w:rsid w:val="00920CCC"/>
    <w:rsid w:val="00924ABC"/>
    <w:rsid w:val="009322E0"/>
    <w:rsid w:val="00940E8F"/>
    <w:rsid w:val="009469F6"/>
    <w:rsid w:val="0095309C"/>
    <w:rsid w:val="009574B2"/>
    <w:rsid w:val="009577D8"/>
    <w:rsid w:val="00963AA3"/>
    <w:rsid w:val="009652F2"/>
    <w:rsid w:val="009719ED"/>
    <w:rsid w:val="00982A60"/>
    <w:rsid w:val="00982B95"/>
    <w:rsid w:val="00983D7C"/>
    <w:rsid w:val="0098441B"/>
    <w:rsid w:val="00985ED2"/>
    <w:rsid w:val="00986C37"/>
    <w:rsid w:val="00997528"/>
    <w:rsid w:val="0099796A"/>
    <w:rsid w:val="009A2150"/>
    <w:rsid w:val="009A366B"/>
    <w:rsid w:val="009B693A"/>
    <w:rsid w:val="009C1346"/>
    <w:rsid w:val="009C2AD5"/>
    <w:rsid w:val="009D05C8"/>
    <w:rsid w:val="009D22CD"/>
    <w:rsid w:val="009D344E"/>
    <w:rsid w:val="009D49BA"/>
    <w:rsid w:val="009E043B"/>
    <w:rsid w:val="009E3C0B"/>
    <w:rsid w:val="009F124A"/>
    <w:rsid w:val="00A030C8"/>
    <w:rsid w:val="00A06E38"/>
    <w:rsid w:val="00A13244"/>
    <w:rsid w:val="00A14123"/>
    <w:rsid w:val="00A2106D"/>
    <w:rsid w:val="00A22922"/>
    <w:rsid w:val="00A239AA"/>
    <w:rsid w:val="00A259A9"/>
    <w:rsid w:val="00A27B71"/>
    <w:rsid w:val="00A37362"/>
    <w:rsid w:val="00A42BB8"/>
    <w:rsid w:val="00A439E8"/>
    <w:rsid w:val="00A45753"/>
    <w:rsid w:val="00A51BCF"/>
    <w:rsid w:val="00A53423"/>
    <w:rsid w:val="00A541F5"/>
    <w:rsid w:val="00A62659"/>
    <w:rsid w:val="00A6410C"/>
    <w:rsid w:val="00A64454"/>
    <w:rsid w:val="00A65F20"/>
    <w:rsid w:val="00A76293"/>
    <w:rsid w:val="00A766D5"/>
    <w:rsid w:val="00A77DA2"/>
    <w:rsid w:val="00A81210"/>
    <w:rsid w:val="00A85D9D"/>
    <w:rsid w:val="00A92C4C"/>
    <w:rsid w:val="00A96C06"/>
    <w:rsid w:val="00A9779B"/>
    <w:rsid w:val="00AA01D2"/>
    <w:rsid w:val="00AA5AEA"/>
    <w:rsid w:val="00AA602D"/>
    <w:rsid w:val="00AB572D"/>
    <w:rsid w:val="00AC6951"/>
    <w:rsid w:val="00AD2F5E"/>
    <w:rsid w:val="00AD6C68"/>
    <w:rsid w:val="00AE02AD"/>
    <w:rsid w:val="00AE08B5"/>
    <w:rsid w:val="00AE2923"/>
    <w:rsid w:val="00AE2CA8"/>
    <w:rsid w:val="00AE66CE"/>
    <w:rsid w:val="00AE6EAE"/>
    <w:rsid w:val="00AE7F9D"/>
    <w:rsid w:val="00AF0812"/>
    <w:rsid w:val="00AF1794"/>
    <w:rsid w:val="00AF29B3"/>
    <w:rsid w:val="00AF34D8"/>
    <w:rsid w:val="00AF5476"/>
    <w:rsid w:val="00B01B32"/>
    <w:rsid w:val="00B028F7"/>
    <w:rsid w:val="00B07B36"/>
    <w:rsid w:val="00B104A8"/>
    <w:rsid w:val="00B2200C"/>
    <w:rsid w:val="00B22863"/>
    <w:rsid w:val="00B26424"/>
    <w:rsid w:val="00B26F1E"/>
    <w:rsid w:val="00B31945"/>
    <w:rsid w:val="00B37B89"/>
    <w:rsid w:val="00B41502"/>
    <w:rsid w:val="00B430B5"/>
    <w:rsid w:val="00B45985"/>
    <w:rsid w:val="00B51024"/>
    <w:rsid w:val="00B512B5"/>
    <w:rsid w:val="00B55564"/>
    <w:rsid w:val="00B55AB8"/>
    <w:rsid w:val="00B574D5"/>
    <w:rsid w:val="00B60CD8"/>
    <w:rsid w:val="00B60F9C"/>
    <w:rsid w:val="00B62A18"/>
    <w:rsid w:val="00B62C3E"/>
    <w:rsid w:val="00B6769E"/>
    <w:rsid w:val="00B708CB"/>
    <w:rsid w:val="00B73F22"/>
    <w:rsid w:val="00B76C81"/>
    <w:rsid w:val="00B76F9A"/>
    <w:rsid w:val="00B7737D"/>
    <w:rsid w:val="00B810B2"/>
    <w:rsid w:val="00B84A9B"/>
    <w:rsid w:val="00BA152D"/>
    <w:rsid w:val="00BA26F7"/>
    <w:rsid w:val="00BA3F03"/>
    <w:rsid w:val="00BA79F0"/>
    <w:rsid w:val="00BB24CE"/>
    <w:rsid w:val="00BB4FF4"/>
    <w:rsid w:val="00BB5068"/>
    <w:rsid w:val="00BB7AE8"/>
    <w:rsid w:val="00BC5B0D"/>
    <w:rsid w:val="00BD0481"/>
    <w:rsid w:val="00BD4447"/>
    <w:rsid w:val="00BD550C"/>
    <w:rsid w:val="00BE2587"/>
    <w:rsid w:val="00BE2623"/>
    <w:rsid w:val="00BE3923"/>
    <w:rsid w:val="00BE4BF0"/>
    <w:rsid w:val="00BE5EE5"/>
    <w:rsid w:val="00BE68EE"/>
    <w:rsid w:val="00BE7F63"/>
    <w:rsid w:val="00BF45FB"/>
    <w:rsid w:val="00BF5061"/>
    <w:rsid w:val="00C0239E"/>
    <w:rsid w:val="00C0769C"/>
    <w:rsid w:val="00C07AF8"/>
    <w:rsid w:val="00C10101"/>
    <w:rsid w:val="00C123B1"/>
    <w:rsid w:val="00C149B1"/>
    <w:rsid w:val="00C17F67"/>
    <w:rsid w:val="00C21071"/>
    <w:rsid w:val="00C2398C"/>
    <w:rsid w:val="00C25569"/>
    <w:rsid w:val="00C27366"/>
    <w:rsid w:val="00C30193"/>
    <w:rsid w:val="00C34D5C"/>
    <w:rsid w:val="00C3512C"/>
    <w:rsid w:val="00C4083F"/>
    <w:rsid w:val="00C4123F"/>
    <w:rsid w:val="00C46825"/>
    <w:rsid w:val="00C63AA8"/>
    <w:rsid w:val="00C67A6B"/>
    <w:rsid w:val="00C67BE4"/>
    <w:rsid w:val="00C7783C"/>
    <w:rsid w:val="00C80572"/>
    <w:rsid w:val="00C81210"/>
    <w:rsid w:val="00C83EA0"/>
    <w:rsid w:val="00C84231"/>
    <w:rsid w:val="00C87996"/>
    <w:rsid w:val="00C93841"/>
    <w:rsid w:val="00CA66D8"/>
    <w:rsid w:val="00CA6B58"/>
    <w:rsid w:val="00CB1AE6"/>
    <w:rsid w:val="00CB3ED4"/>
    <w:rsid w:val="00CB3F86"/>
    <w:rsid w:val="00CC2934"/>
    <w:rsid w:val="00CC3ABF"/>
    <w:rsid w:val="00CD00F4"/>
    <w:rsid w:val="00CD34F0"/>
    <w:rsid w:val="00CD3AE5"/>
    <w:rsid w:val="00CD447B"/>
    <w:rsid w:val="00CE0954"/>
    <w:rsid w:val="00CE25BD"/>
    <w:rsid w:val="00CF11F7"/>
    <w:rsid w:val="00CF14F9"/>
    <w:rsid w:val="00CF2FBB"/>
    <w:rsid w:val="00D02365"/>
    <w:rsid w:val="00D077ED"/>
    <w:rsid w:val="00D11D8A"/>
    <w:rsid w:val="00D1323F"/>
    <w:rsid w:val="00D202BA"/>
    <w:rsid w:val="00D21574"/>
    <w:rsid w:val="00D22A18"/>
    <w:rsid w:val="00D251AC"/>
    <w:rsid w:val="00D34765"/>
    <w:rsid w:val="00D43766"/>
    <w:rsid w:val="00D47CCF"/>
    <w:rsid w:val="00D525D6"/>
    <w:rsid w:val="00D6220C"/>
    <w:rsid w:val="00D6457B"/>
    <w:rsid w:val="00D66DEC"/>
    <w:rsid w:val="00D70A86"/>
    <w:rsid w:val="00D716EC"/>
    <w:rsid w:val="00D71A41"/>
    <w:rsid w:val="00D725FE"/>
    <w:rsid w:val="00D75BF7"/>
    <w:rsid w:val="00D768A4"/>
    <w:rsid w:val="00D8103F"/>
    <w:rsid w:val="00D825BF"/>
    <w:rsid w:val="00D92F52"/>
    <w:rsid w:val="00DA19AC"/>
    <w:rsid w:val="00DA753F"/>
    <w:rsid w:val="00DA7D51"/>
    <w:rsid w:val="00DB722D"/>
    <w:rsid w:val="00DC182C"/>
    <w:rsid w:val="00DC40B2"/>
    <w:rsid w:val="00DC4795"/>
    <w:rsid w:val="00DC5754"/>
    <w:rsid w:val="00DD2A2C"/>
    <w:rsid w:val="00DD34A3"/>
    <w:rsid w:val="00DD5A89"/>
    <w:rsid w:val="00DD6056"/>
    <w:rsid w:val="00DE7C6A"/>
    <w:rsid w:val="00DF02B2"/>
    <w:rsid w:val="00DF15A9"/>
    <w:rsid w:val="00DF2857"/>
    <w:rsid w:val="00DF2F70"/>
    <w:rsid w:val="00DF6981"/>
    <w:rsid w:val="00DF782B"/>
    <w:rsid w:val="00E03AEF"/>
    <w:rsid w:val="00E03FEA"/>
    <w:rsid w:val="00E102DE"/>
    <w:rsid w:val="00E21221"/>
    <w:rsid w:val="00E24825"/>
    <w:rsid w:val="00E2494B"/>
    <w:rsid w:val="00E339B8"/>
    <w:rsid w:val="00E42093"/>
    <w:rsid w:val="00E522AD"/>
    <w:rsid w:val="00E5569F"/>
    <w:rsid w:val="00E63B68"/>
    <w:rsid w:val="00E64103"/>
    <w:rsid w:val="00E64E95"/>
    <w:rsid w:val="00E673B0"/>
    <w:rsid w:val="00E6792F"/>
    <w:rsid w:val="00E71F4A"/>
    <w:rsid w:val="00E73895"/>
    <w:rsid w:val="00E74719"/>
    <w:rsid w:val="00E76CD1"/>
    <w:rsid w:val="00E80531"/>
    <w:rsid w:val="00E92570"/>
    <w:rsid w:val="00E92AB4"/>
    <w:rsid w:val="00E96910"/>
    <w:rsid w:val="00E97FEC"/>
    <w:rsid w:val="00EA27CF"/>
    <w:rsid w:val="00EA6083"/>
    <w:rsid w:val="00EB4CF6"/>
    <w:rsid w:val="00EB5836"/>
    <w:rsid w:val="00EB685B"/>
    <w:rsid w:val="00ED2011"/>
    <w:rsid w:val="00EE0D26"/>
    <w:rsid w:val="00EE3178"/>
    <w:rsid w:val="00EE4AD8"/>
    <w:rsid w:val="00F139AC"/>
    <w:rsid w:val="00F21EAC"/>
    <w:rsid w:val="00F22E24"/>
    <w:rsid w:val="00F23026"/>
    <w:rsid w:val="00F23960"/>
    <w:rsid w:val="00F23F7F"/>
    <w:rsid w:val="00F3243D"/>
    <w:rsid w:val="00F36E2F"/>
    <w:rsid w:val="00F423F8"/>
    <w:rsid w:val="00F4335F"/>
    <w:rsid w:val="00F46D0D"/>
    <w:rsid w:val="00F50B8A"/>
    <w:rsid w:val="00F53E48"/>
    <w:rsid w:val="00F54084"/>
    <w:rsid w:val="00F60A2D"/>
    <w:rsid w:val="00F63C16"/>
    <w:rsid w:val="00F75EAF"/>
    <w:rsid w:val="00F8138E"/>
    <w:rsid w:val="00F8320F"/>
    <w:rsid w:val="00F92B59"/>
    <w:rsid w:val="00F948BC"/>
    <w:rsid w:val="00F95E5E"/>
    <w:rsid w:val="00F960CF"/>
    <w:rsid w:val="00FA10A3"/>
    <w:rsid w:val="00FA1226"/>
    <w:rsid w:val="00FB23F6"/>
    <w:rsid w:val="00FB6D34"/>
    <w:rsid w:val="00FD0100"/>
    <w:rsid w:val="00FD09D8"/>
    <w:rsid w:val="00FD61EC"/>
    <w:rsid w:val="00FF00F8"/>
    <w:rsid w:val="00FF1EBC"/>
    <w:rsid w:val="00FF2318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54E7BBA4-1051-4129-82D6-5121BABD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paragraph" w:styleId="Tekstprzypisudolnego">
    <w:name w:val="footnote text"/>
    <w:aliases w:val="Podrozdział,Podrozdzia3,-E Fuﬂnotentext,Fuﬂnotentext Ursprung,Fußnotentext Ursprung,-E Fußnotentext,Footnote text,Tekst przypisu Znak Znak Znak Znak,Tekst przypisu Znak Znak Znak Znak Znak,footnote text,Fußnote,fn,9 pt,8 ,Znak,8"/>
    <w:basedOn w:val="Normalny"/>
    <w:link w:val="TekstprzypisudolnegoZnak"/>
    <w:uiPriority w:val="99"/>
    <w:unhideWhenUsed/>
    <w:qFormat/>
    <w:rsid w:val="00E63B68"/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ootnote text Znak,Tekst przypisu Znak Znak Znak Znak Znak1,footnote text Znak,Fußnote Znak"/>
    <w:basedOn w:val="Domylnaczcionkaakapitu"/>
    <w:link w:val="Tekstprzypisudolnego"/>
    <w:uiPriority w:val="99"/>
    <w:rsid w:val="00E63B68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PRZYPIS DOLNY,FZ,Char1,Footnote Reference Number,Footnote Reference Superscript,BVI fnr,number"/>
    <w:basedOn w:val="Domylnaczcionkaakapitu"/>
    <w:link w:val="FootnotesymbolCarZchn"/>
    <w:uiPriority w:val="99"/>
    <w:unhideWhenUsed/>
    <w:rsid w:val="00E63B68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link w:val="Odwoanieprzypisudolnego"/>
    <w:uiPriority w:val="99"/>
    <w:rsid w:val="00E63B68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55DE0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A27CF"/>
    <w:rPr>
      <w:i/>
      <w:iCs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basedOn w:val="Domylnaczcionkaakapitu"/>
    <w:link w:val="Akapitzlist"/>
    <w:uiPriority w:val="34"/>
    <w:qFormat/>
    <w:rsid w:val="00EA27CF"/>
    <w:rPr>
      <w:rFonts w:ascii="Trebuchet MS" w:eastAsia="Times New Roman" w:hAnsi="Trebuchet MS" w:cs="Times New Roman"/>
      <w:sz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6951"/>
    <w:rPr>
      <w:color w:val="605E5C"/>
      <w:shd w:val="clear" w:color="auto" w:fill="E1DFDD"/>
    </w:rPr>
  </w:style>
  <w:style w:type="character" w:customStyle="1" w:styleId="A24">
    <w:name w:val="A24"/>
    <w:uiPriority w:val="99"/>
    <w:rsid w:val="00880084"/>
    <w:rPr>
      <w:rFonts w:cs="Fira Sans"/>
      <w:color w:val="000000"/>
      <w:sz w:val="18"/>
      <w:szCs w:val="18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577D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70A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52D9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B7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kik.gov.pl/informacje_ogolne2.php" TargetMode="External"/><Relationship Id="rId18" Type="http://schemas.openxmlformats.org/officeDocument/2006/relationships/hyperlink" Target="https://eur-lex.europa.eu/legal-content/PL/TXT/PDF/?uri=CELEX:32019L0633&amp;from=BG" TargetMode="External"/><Relationship Id="rId26" Type="http://schemas.openxmlformats.org/officeDocument/2006/relationships/hyperlink" Target="https://www.uokik.gov.pl/aktualnosci.php?news_id=18205" TargetMode="External"/><Relationship Id="rId39" Type="http://schemas.openxmlformats.org/officeDocument/2006/relationships/hyperlink" Target="https://www.youtube.com/watch?v=gSU0PF9bJo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uokik.gov.pl/aktualnosci.php?news_id=17434" TargetMode="External"/><Relationship Id="rId34" Type="http://schemas.openxmlformats.org/officeDocument/2006/relationships/hyperlink" Target="https://www.uokik.gov.pl/policz_i_nie_przelicz_sie.php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uokik.gov.pl/aktualnosci.php?news_id=18278" TargetMode="External"/><Relationship Id="rId17" Type="http://schemas.openxmlformats.org/officeDocument/2006/relationships/hyperlink" Target="https://uokik.gov.pl/aktualnosci.php?news_id=17420" TargetMode="External"/><Relationship Id="rId25" Type="http://schemas.openxmlformats.org/officeDocument/2006/relationships/hyperlink" Target="https://www.uokik.gov.pl/aktualnosci.php?news_id=18189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s://www.uokik.gov.pl/aktualnosci.php?news_id=1806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okik.gov.pl/aktualnosci.php?news_id=18166" TargetMode="External"/><Relationship Id="rId20" Type="http://schemas.openxmlformats.org/officeDocument/2006/relationships/hyperlink" Target="https://www.uokik.gov.pl/aktualnosci.php?news_id=18048" TargetMode="External"/><Relationship Id="rId29" Type="http://schemas.openxmlformats.org/officeDocument/2006/relationships/hyperlink" Target="https://konkursy.govtech.gov.pl/start/postepowanie/137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8174" TargetMode="External"/><Relationship Id="rId24" Type="http://schemas.openxmlformats.org/officeDocument/2006/relationships/hyperlink" Target="https://www.uokik.gov.pl/aktualnosci.php?news_id=18227" TargetMode="External"/><Relationship Id="rId32" Type="http://schemas.openxmlformats.org/officeDocument/2006/relationships/hyperlink" Target="https://www.uokik.gov.pl/uokiktestuje.php" TargetMode="External"/><Relationship Id="rId37" Type="http://schemas.openxmlformats.org/officeDocument/2006/relationships/hyperlink" Target="https://www.facebook.com/SwiatowyDzienKonsumenta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uokik.gov.pl/aktualnosci.php?news_id=18135&amp;news_page=2" TargetMode="External"/><Relationship Id="rId23" Type="http://schemas.openxmlformats.org/officeDocument/2006/relationships/hyperlink" Target="https://www.uokik.gov.pl/aktualnosci.php?news_id=17158" TargetMode="External"/><Relationship Id="rId28" Type="http://schemas.openxmlformats.org/officeDocument/2006/relationships/hyperlink" Target="https://konkursy.govtech.gov.pl/start/postepowanie/137" TargetMode="External"/><Relationship Id="rId36" Type="http://schemas.openxmlformats.org/officeDocument/2006/relationships/hyperlink" Target="http://www.konsument.edu.pl/" TargetMode="External"/><Relationship Id="rId10" Type="http://schemas.openxmlformats.org/officeDocument/2006/relationships/hyperlink" Target="http://www.uokik.gov.pl/program_lagodzenia_kar2.php" TargetMode="External"/><Relationship Id="rId19" Type="http://schemas.openxmlformats.org/officeDocument/2006/relationships/hyperlink" Target="https://www.uokik.gov.pl/aktualnosci.php?news_id=17856" TargetMode="External"/><Relationship Id="rId31" Type="http://schemas.openxmlformats.org/officeDocument/2006/relationships/hyperlink" Target="https://www.uokik.gov.pl/aktualnosci.php?news_id=18287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uokik.gov.pl/informacje_ogolne2.php" TargetMode="External"/><Relationship Id="rId22" Type="http://schemas.openxmlformats.org/officeDocument/2006/relationships/hyperlink" Target="https://www.uokik.gov.pl/aktualnosci.php?news_id=18195" TargetMode="External"/><Relationship Id="rId27" Type="http://schemas.openxmlformats.org/officeDocument/2006/relationships/hyperlink" Target="https://www.uokik.gov.pl/aktualnosci.php?news_id=18155" TargetMode="External"/><Relationship Id="rId30" Type="http://schemas.openxmlformats.org/officeDocument/2006/relationships/hyperlink" Target="https://www.uokik.gov.pl/system_rapex.php" TargetMode="External"/><Relationship Id="rId35" Type="http://schemas.openxmlformats.org/officeDocument/2006/relationships/hyperlink" Target="https://finanse.uokik.gov.pl/kalkulator-zmiany-oprocentowania/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5D6C-DF28-4B29-9726-67E0AE4CA0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21123D8-23AB-4CD9-A7DB-68F59750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2419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19</cp:revision>
  <cp:lastPrinted>2019-03-06T14:11:00Z</cp:lastPrinted>
  <dcterms:created xsi:type="dcterms:W3CDTF">2022-02-18T09:46:00Z</dcterms:created>
  <dcterms:modified xsi:type="dcterms:W3CDTF">2022-03-21T08:54:00Z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20c99d7a-fc3e-4337-99ab-2f3713342618</vt:lpwstr>
  </property>
  <property fmtid="{D5CDD505-2E9C-101B-9397-08002B2CF9AE}" pid="3" name="bjClsUserRVM">
    <vt:lpwstr>[]</vt:lpwstr>
  </property>
  <property fmtid="{D5CDD505-2E9C-101B-9397-08002B2CF9AE}" pid="4" name="bjDocumentSecurityLabel">
    <vt:lpwstr>JAWNE</vt:lpwstr>
  </property>
  <property fmtid="{D5CDD505-2E9C-101B-9397-08002B2CF9AE}" pid="5" name="bjSaver">
    <vt:lpwstr>2aOzm0077fdSP05sq9jiQBxNTnfG1z76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