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4529" w14:textId="1C9210F3" w:rsidR="000F4C99" w:rsidRPr="00552D87" w:rsidRDefault="00FB777C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WAR</w:t>
      </w:r>
      <w:r w:rsidR="00AB3E82">
        <w:rPr>
          <w:rFonts w:ascii="Trebuchet MS" w:hAnsi="Trebuchet MS"/>
          <w:color w:val="000000" w:themeColor="text1"/>
          <w:sz w:val="32"/>
          <w:szCs w:val="32"/>
        </w:rPr>
        <w:t>U</w:t>
      </w:r>
      <w:r>
        <w:rPr>
          <w:rFonts w:ascii="Trebuchet MS" w:hAnsi="Trebuchet MS"/>
          <w:color w:val="000000" w:themeColor="text1"/>
          <w:sz w:val="32"/>
          <w:szCs w:val="32"/>
        </w:rPr>
        <w:t>NKOWA ZGODA NA KONCENTRACJĘ</w:t>
      </w:r>
      <w:r w:rsidR="00552D87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C977CD">
        <w:rPr>
          <w:rFonts w:ascii="Trebuchet MS" w:hAnsi="Trebuchet MS"/>
          <w:color w:val="000000" w:themeColor="text1"/>
          <w:sz w:val="32"/>
          <w:szCs w:val="32"/>
        </w:rPr>
        <w:t>PKN ORLEN - PGN</w:t>
      </w:r>
      <w:r w:rsidR="00B30FC9">
        <w:rPr>
          <w:rFonts w:ascii="Trebuchet MS" w:hAnsi="Trebuchet MS"/>
          <w:color w:val="000000" w:themeColor="text1"/>
          <w:sz w:val="32"/>
          <w:szCs w:val="32"/>
        </w:rPr>
        <w:t>i</w:t>
      </w:r>
      <w:r w:rsidR="00C977CD">
        <w:rPr>
          <w:rFonts w:ascii="Trebuchet MS" w:hAnsi="Trebuchet MS"/>
          <w:color w:val="000000" w:themeColor="text1"/>
          <w:sz w:val="32"/>
          <w:szCs w:val="32"/>
        </w:rPr>
        <w:t>G</w:t>
      </w:r>
      <w:r w:rsidR="00552D87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B71BA8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</w:p>
    <w:p w14:paraId="7BAF04B7" w14:textId="77777777" w:rsidR="005B6870" w:rsidRPr="001A18BB" w:rsidRDefault="005B6870" w:rsidP="0068303A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Trebuchet MS" w:hAnsi="Trebuchet MS"/>
          <w:b/>
        </w:rPr>
      </w:pPr>
      <w:r w:rsidRPr="001A18BB">
        <w:rPr>
          <w:rFonts w:ascii="Trebuchet MS" w:hAnsi="Trebuchet MS"/>
          <w:b/>
        </w:rPr>
        <w:t>Prezes UOKiK wydał warunkową zgod</w:t>
      </w:r>
      <w:r w:rsidR="001A18BB">
        <w:rPr>
          <w:rFonts w:ascii="Trebuchet MS" w:hAnsi="Trebuchet MS"/>
          <w:b/>
        </w:rPr>
        <w:t>ę na połączenie P</w:t>
      </w:r>
      <w:r w:rsidR="00BA5E1D">
        <w:rPr>
          <w:rFonts w:ascii="Trebuchet MS" w:hAnsi="Trebuchet MS"/>
          <w:b/>
        </w:rPr>
        <w:t xml:space="preserve">olskiego </w:t>
      </w:r>
      <w:r w:rsidR="001A18BB">
        <w:rPr>
          <w:rFonts w:ascii="Trebuchet MS" w:hAnsi="Trebuchet MS"/>
          <w:b/>
        </w:rPr>
        <w:t>K</w:t>
      </w:r>
      <w:r w:rsidR="00BA5E1D">
        <w:rPr>
          <w:rFonts w:ascii="Trebuchet MS" w:hAnsi="Trebuchet MS"/>
          <w:b/>
        </w:rPr>
        <w:t xml:space="preserve">oncernu </w:t>
      </w:r>
      <w:r w:rsidR="001A18BB">
        <w:rPr>
          <w:rFonts w:ascii="Trebuchet MS" w:hAnsi="Trebuchet MS"/>
          <w:b/>
        </w:rPr>
        <w:t>N</w:t>
      </w:r>
      <w:r w:rsidR="00BA5E1D">
        <w:rPr>
          <w:rFonts w:ascii="Trebuchet MS" w:hAnsi="Trebuchet MS"/>
          <w:b/>
        </w:rPr>
        <w:t>aftowego</w:t>
      </w:r>
      <w:r w:rsidR="001A18BB">
        <w:rPr>
          <w:rFonts w:ascii="Trebuchet MS" w:hAnsi="Trebuchet MS"/>
          <w:b/>
        </w:rPr>
        <w:t xml:space="preserve"> Orlen i Pol</w:t>
      </w:r>
      <w:r w:rsidRPr="001A18BB">
        <w:rPr>
          <w:rFonts w:ascii="Trebuchet MS" w:hAnsi="Trebuchet MS"/>
          <w:b/>
        </w:rPr>
        <w:t>skiego Górnictwa Naftowego i Gazownictwa.</w:t>
      </w:r>
    </w:p>
    <w:p w14:paraId="0454E3FC" w14:textId="77777777" w:rsidR="005B6870" w:rsidRPr="001A18BB" w:rsidRDefault="005B6870" w:rsidP="0068303A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Trebuchet MS" w:hAnsi="Trebuchet MS"/>
          <w:b/>
        </w:rPr>
      </w:pPr>
      <w:r w:rsidRPr="001A18BB">
        <w:rPr>
          <w:rFonts w:ascii="Trebuchet MS" w:hAnsi="Trebuchet MS"/>
          <w:b/>
        </w:rPr>
        <w:t>Transakcja może dojść do skutku</w:t>
      </w:r>
      <w:r w:rsidR="001A18BB">
        <w:rPr>
          <w:rFonts w:ascii="Trebuchet MS" w:hAnsi="Trebuchet MS"/>
          <w:b/>
        </w:rPr>
        <w:t>,</w:t>
      </w:r>
      <w:r w:rsidRPr="001A18BB">
        <w:rPr>
          <w:rFonts w:ascii="Trebuchet MS" w:hAnsi="Trebuchet MS"/>
          <w:b/>
        </w:rPr>
        <w:t xml:space="preserve"> jeżeli sprzedana zostanie spółka </w:t>
      </w:r>
      <w:proofErr w:type="spellStart"/>
      <w:r w:rsidRPr="001A18BB">
        <w:rPr>
          <w:rFonts w:ascii="Trebuchet MS" w:hAnsi="Trebuchet MS"/>
          <w:b/>
        </w:rPr>
        <w:t>Gas</w:t>
      </w:r>
      <w:proofErr w:type="spellEnd"/>
      <w:r w:rsidRPr="001A18BB">
        <w:rPr>
          <w:rFonts w:ascii="Trebuchet MS" w:hAnsi="Trebuchet MS"/>
          <w:b/>
        </w:rPr>
        <w:t xml:space="preserve"> Storage Poland – zarządzająca magazynami gazu PGNiG</w:t>
      </w:r>
      <w:r w:rsidR="001A18BB" w:rsidRPr="001A18BB">
        <w:rPr>
          <w:rFonts w:ascii="Trebuchet MS" w:hAnsi="Trebuchet MS"/>
          <w:b/>
        </w:rPr>
        <w:t>.</w:t>
      </w:r>
    </w:p>
    <w:p w14:paraId="47BAE5A1" w14:textId="77777777" w:rsidR="005B6870" w:rsidRPr="001A18BB" w:rsidRDefault="005B6870" w:rsidP="0068303A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Trebuchet MS" w:hAnsi="Trebuchet MS"/>
          <w:b/>
        </w:rPr>
      </w:pPr>
      <w:r w:rsidRPr="001A18BB">
        <w:rPr>
          <w:rFonts w:ascii="Trebuchet MS" w:hAnsi="Trebuchet MS"/>
          <w:b/>
        </w:rPr>
        <w:t xml:space="preserve">Dzięki </w:t>
      </w:r>
      <w:r w:rsidR="0033496B">
        <w:rPr>
          <w:rFonts w:ascii="Trebuchet MS" w:hAnsi="Trebuchet MS"/>
          <w:b/>
        </w:rPr>
        <w:t>środkom zaradczym</w:t>
      </w:r>
      <w:r w:rsidRPr="001A18BB">
        <w:rPr>
          <w:rFonts w:ascii="Trebuchet MS" w:hAnsi="Trebuchet MS"/>
          <w:b/>
        </w:rPr>
        <w:t xml:space="preserve"> nie dojdzie do ograniczenia konkurencji</w:t>
      </w:r>
      <w:r w:rsidR="001A18BB" w:rsidRPr="001A18BB">
        <w:rPr>
          <w:rFonts w:ascii="Trebuchet MS" w:hAnsi="Trebuchet MS"/>
          <w:b/>
        </w:rPr>
        <w:t>.</w:t>
      </w:r>
    </w:p>
    <w:p w14:paraId="68083C55" w14:textId="597DB771" w:rsidR="005B6870" w:rsidRPr="0068303A" w:rsidRDefault="005B6870" w:rsidP="0068303A">
      <w:pPr>
        <w:spacing w:after="240" w:line="360" w:lineRule="auto"/>
        <w:jc w:val="both"/>
        <w:rPr>
          <w:rFonts w:ascii="Trebuchet MS" w:hAnsi="Trebuchet MS"/>
        </w:rPr>
      </w:pPr>
      <w:r w:rsidRPr="001A18BB">
        <w:rPr>
          <w:rFonts w:ascii="Trebuchet MS" w:hAnsi="Trebuchet MS"/>
          <w:b/>
        </w:rPr>
        <w:t xml:space="preserve">[Warszawa, </w:t>
      </w:r>
      <w:r w:rsidR="003A141D">
        <w:rPr>
          <w:rFonts w:ascii="Trebuchet MS" w:hAnsi="Trebuchet MS"/>
          <w:b/>
        </w:rPr>
        <w:t xml:space="preserve">16 </w:t>
      </w:r>
      <w:bookmarkStart w:id="0" w:name="_GoBack"/>
      <w:bookmarkEnd w:id="0"/>
      <w:r w:rsidRPr="001A18BB">
        <w:rPr>
          <w:rFonts w:ascii="Trebuchet MS" w:hAnsi="Trebuchet MS"/>
          <w:b/>
        </w:rPr>
        <w:t>marca 2022 r</w:t>
      </w:r>
      <w:r w:rsidRPr="0068303A">
        <w:rPr>
          <w:rFonts w:ascii="Trebuchet MS" w:hAnsi="Trebuchet MS"/>
        </w:rPr>
        <w:t>.</w:t>
      </w:r>
      <w:r w:rsidRPr="001A18BB">
        <w:rPr>
          <w:rFonts w:ascii="Trebuchet MS" w:hAnsi="Trebuchet MS"/>
          <w:b/>
        </w:rPr>
        <w:t>]</w:t>
      </w:r>
      <w:r w:rsidRPr="0068303A">
        <w:rPr>
          <w:rFonts w:ascii="Trebuchet MS" w:hAnsi="Trebuchet MS"/>
        </w:rPr>
        <w:t xml:space="preserve"> PGNiG </w:t>
      </w:r>
      <w:r w:rsidR="00D461D5">
        <w:rPr>
          <w:rFonts w:ascii="Trebuchet MS" w:hAnsi="Trebuchet MS"/>
        </w:rPr>
        <w:t>zajmuje się głównie wydobyciem, importem, magazynowaniem</w:t>
      </w:r>
      <w:r w:rsidRPr="0068303A">
        <w:rPr>
          <w:rFonts w:ascii="Trebuchet MS" w:hAnsi="Trebuchet MS"/>
        </w:rPr>
        <w:t>, dystr</w:t>
      </w:r>
      <w:r w:rsidR="00D461D5">
        <w:rPr>
          <w:rFonts w:ascii="Trebuchet MS" w:hAnsi="Trebuchet MS"/>
        </w:rPr>
        <w:t>ybucją i sprzedażą gazu ziemnego</w:t>
      </w:r>
      <w:r w:rsidRPr="0068303A">
        <w:rPr>
          <w:rFonts w:ascii="Trebuchet MS" w:hAnsi="Trebuchet MS"/>
        </w:rPr>
        <w:t xml:space="preserve">. Jest największym sprzedawcą hurtowym i detalicznym gazu w Polsce. Orlen działa głównie w sektorze rafineryjnym, petrochemicznym, paliw płynnych oraz energii elektrycznej. Jest </w:t>
      </w:r>
      <w:r w:rsidR="00417121">
        <w:rPr>
          <w:rFonts w:ascii="Trebuchet MS" w:hAnsi="Trebuchet MS"/>
        </w:rPr>
        <w:t xml:space="preserve">największym w Polsce </w:t>
      </w:r>
      <w:r w:rsidRPr="0068303A">
        <w:rPr>
          <w:rFonts w:ascii="Trebuchet MS" w:hAnsi="Trebuchet MS"/>
        </w:rPr>
        <w:t>odbiorcą gazu zi</w:t>
      </w:r>
      <w:r w:rsidR="00BA5E1D">
        <w:rPr>
          <w:rFonts w:ascii="Trebuchet MS" w:hAnsi="Trebuchet MS"/>
        </w:rPr>
        <w:t>e</w:t>
      </w:r>
      <w:r w:rsidR="00417121">
        <w:rPr>
          <w:rFonts w:ascii="Trebuchet MS" w:hAnsi="Trebuchet MS"/>
        </w:rPr>
        <w:t xml:space="preserve">mnego oraz prowadzi </w:t>
      </w:r>
      <w:r w:rsidR="00D461D5">
        <w:rPr>
          <w:rFonts w:ascii="Trebuchet MS" w:hAnsi="Trebuchet MS"/>
        </w:rPr>
        <w:t xml:space="preserve"> </w:t>
      </w:r>
      <w:r w:rsidR="00417121">
        <w:rPr>
          <w:rFonts w:ascii="Trebuchet MS" w:hAnsi="Trebuchet MS"/>
        </w:rPr>
        <w:t xml:space="preserve">również </w:t>
      </w:r>
      <w:r w:rsidR="00D461D5">
        <w:rPr>
          <w:rFonts w:ascii="Trebuchet MS" w:hAnsi="Trebuchet MS"/>
        </w:rPr>
        <w:t>działalność</w:t>
      </w:r>
      <w:r w:rsidRPr="0068303A">
        <w:rPr>
          <w:rFonts w:ascii="Trebuchet MS" w:hAnsi="Trebuchet MS"/>
        </w:rPr>
        <w:t xml:space="preserve"> w zakresie </w:t>
      </w:r>
      <w:r w:rsidR="00F51235">
        <w:rPr>
          <w:rFonts w:ascii="Trebuchet MS" w:hAnsi="Trebuchet MS"/>
        </w:rPr>
        <w:t xml:space="preserve">jego </w:t>
      </w:r>
      <w:r w:rsidRPr="0068303A">
        <w:rPr>
          <w:rFonts w:ascii="Trebuchet MS" w:hAnsi="Trebuchet MS"/>
        </w:rPr>
        <w:t xml:space="preserve">sprzedaży. </w:t>
      </w:r>
    </w:p>
    <w:p w14:paraId="1EFF89D5" w14:textId="77777777" w:rsidR="005B6870" w:rsidRPr="00D461D5" w:rsidRDefault="00C61D8E" w:rsidP="0068303A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Transakcja </w:t>
      </w:r>
      <w:r w:rsidR="005B6870" w:rsidRPr="0068303A">
        <w:rPr>
          <w:rFonts w:ascii="Trebuchet MS" w:hAnsi="Trebuchet MS"/>
        </w:rPr>
        <w:t xml:space="preserve">pierwotnie została zgłoszona do Komisji Europejskiej ze względu na wysokość światowego obrotu uczestników koncentracji. KE przychyliła się jednak do wniosku przedsiębiorców i </w:t>
      </w:r>
      <w:hyperlink r:id="rId9" w:history="1">
        <w:r w:rsidR="005B6870" w:rsidRPr="00ED6658">
          <w:rPr>
            <w:rStyle w:val="Hipercze"/>
            <w:rFonts w:ascii="Trebuchet MS" w:hAnsi="Trebuchet MS"/>
          </w:rPr>
          <w:t>przekazała sprawę Prezesowi UOKiK</w:t>
        </w:r>
      </w:hyperlink>
      <w:r w:rsidR="005B6870" w:rsidRPr="0068303A">
        <w:rPr>
          <w:rFonts w:ascii="Trebuchet MS" w:hAnsi="Trebuchet MS"/>
        </w:rPr>
        <w:t>.</w:t>
      </w:r>
      <w:r w:rsidR="00417121">
        <w:rPr>
          <w:rFonts w:ascii="Trebuchet MS" w:hAnsi="Trebuchet MS"/>
        </w:rPr>
        <w:t xml:space="preserve"> </w:t>
      </w:r>
      <w:r w:rsidR="00F51235" w:rsidRPr="0068303A">
        <w:rPr>
          <w:rFonts w:ascii="Trebuchet MS" w:hAnsi="Trebuchet MS"/>
        </w:rPr>
        <w:t xml:space="preserve">Komisja uznała, że </w:t>
      </w:r>
      <w:r w:rsidR="006549FB">
        <w:rPr>
          <w:rFonts w:ascii="Trebuchet MS" w:hAnsi="Trebuchet MS"/>
        </w:rPr>
        <w:t>transakcja</w:t>
      </w:r>
      <w:r w:rsidR="00F51235">
        <w:rPr>
          <w:rFonts w:ascii="Trebuchet MS" w:hAnsi="Trebuchet MS"/>
        </w:rPr>
        <w:t xml:space="preserve"> będzie miała wpływ na </w:t>
      </w:r>
      <w:r w:rsidR="00417121">
        <w:rPr>
          <w:rFonts w:ascii="Trebuchet MS" w:hAnsi="Trebuchet MS"/>
        </w:rPr>
        <w:t>polskie rynki</w:t>
      </w:r>
      <w:r w:rsidR="00F51235">
        <w:rPr>
          <w:rFonts w:ascii="Trebuchet MS" w:hAnsi="Trebuchet MS"/>
        </w:rPr>
        <w:t xml:space="preserve">, a </w:t>
      </w:r>
      <w:r w:rsidR="0033496B">
        <w:rPr>
          <w:rFonts w:ascii="Trebuchet MS" w:hAnsi="Trebuchet MS"/>
          <w:color w:val="000000" w:themeColor="text1"/>
        </w:rPr>
        <w:t>organ</w:t>
      </w:r>
      <w:r w:rsidR="00F51235" w:rsidRPr="00D461D5">
        <w:rPr>
          <w:rStyle w:val="Pogrubienie"/>
          <w:rFonts w:ascii="Trebuchet MS" w:hAnsi="Trebuchet MS" w:cs="Tahoma"/>
          <w:b w:val="0"/>
          <w:color w:val="000000" w:themeColor="text1"/>
          <w:shd w:val="clear" w:color="auto" w:fill="FFFFFF"/>
        </w:rPr>
        <w:t xml:space="preserve"> ma doświadczenie w </w:t>
      </w:r>
      <w:r w:rsidR="00F51235">
        <w:rPr>
          <w:rStyle w:val="Pogrubienie"/>
          <w:rFonts w:ascii="Trebuchet MS" w:hAnsi="Trebuchet MS" w:cs="Tahoma"/>
          <w:b w:val="0"/>
          <w:color w:val="000000" w:themeColor="text1"/>
          <w:shd w:val="clear" w:color="auto" w:fill="FFFFFF"/>
        </w:rPr>
        <w:t>ich ocenie.</w:t>
      </w:r>
      <w:r w:rsidR="005B6870" w:rsidRPr="00D461D5">
        <w:rPr>
          <w:rFonts w:ascii="Trebuchet MS" w:hAnsi="Trebuchet MS"/>
        </w:rPr>
        <w:t xml:space="preserve"> </w:t>
      </w:r>
    </w:p>
    <w:p w14:paraId="4C577B02" w14:textId="5F7763AB" w:rsidR="005B6870" w:rsidRPr="0068303A" w:rsidRDefault="005B6870" w:rsidP="0068303A">
      <w:pPr>
        <w:spacing w:after="240" w:line="360" w:lineRule="auto"/>
        <w:jc w:val="both"/>
        <w:rPr>
          <w:rFonts w:ascii="Trebuchet MS" w:hAnsi="Trebuchet MS"/>
        </w:rPr>
      </w:pPr>
      <w:r w:rsidRPr="00D461D5">
        <w:rPr>
          <w:rFonts w:ascii="Trebuchet MS" w:hAnsi="Trebuchet MS"/>
        </w:rPr>
        <w:t xml:space="preserve">W toku postępowania Prezes Urzędu przeprowadził </w:t>
      </w:r>
      <w:r w:rsidR="0033496B">
        <w:rPr>
          <w:rFonts w:ascii="Trebuchet MS" w:hAnsi="Trebuchet MS"/>
        </w:rPr>
        <w:t xml:space="preserve">wnikliwe </w:t>
      </w:r>
      <w:r w:rsidRPr="00D461D5">
        <w:rPr>
          <w:rFonts w:ascii="Trebuchet MS" w:hAnsi="Trebuchet MS"/>
        </w:rPr>
        <w:t>badanie rynku, którym objęto konkurentów ucz</w:t>
      </w:r>
      <w:r w:rsidR="001A18BB" w:rsidRPr="00D461D5">
        <w:rPr>
          <w:rFonts w:ascii="Trebuchet MS" w:hAnsi="Trebuchet MS"/>
        </w:rPr>
        <w:t>estników koncentracji w zakresie</w:t>
      </w:r>
      <w:r w:rsidRPr="00D461D5">
        <w:rPr>
          <w:rFonts w:ascii="Trebuchet MS" w:hAnsi="Trebuchet MS"/>
        </w:rPr>
        <w:t xml:space="preserve"> hurtowej i detalicznej sprzedaż</w:t>
      </w:r>
      <w:r w:rsidR="00C61D8E">
        <w:rPr>
          <w:rFonts w:ascii="Trebuchet MS" w:hAnsi="Trebuchet MS"/>
        </w:rPr>
        <w:t>y</w:t>
      </w:r>
      <w:r w:rsidRPr="00D461D5">
        <w:rPr>
          <w:rFonts w:ascii="Trebuchet MS" w:hAnsi="Trebuchet MS"/>
        </w:rPr>
        <w:t xml:space="preserve"> gazu ziemnego. Ponadto</w:t>
      </w:r>
      <w:r w:rsidR="001A18BB" w:rsidRPr="00D461D5">
        <w:rPr>
          <w:rFonts w:ascii="Trebuchet MS" w:hAnsi="Trebuchet MS"/>
        </w:rPr>
        <w:t xml:space="preserve"> zwrócono się o opinię do </w:t>
      </w:r>
      <w:r w:rsidR="0067796E" w:rsidRPr="00D461D5">
        <w:rPr>
          <w:rFonts w:ascii="Trebuchet MS" w:hAnsi="Trebuchet MS"/>
        </w:rPr>
        <w:t xml:space="preserve">Prezesa Urzędu Regulacji Energetyki </w:t>
      </w:r>
      <w:r w:rsidR="0067796E">
        <w:rPr>
          <w:rFonts w:ascii="Trebuchet MS" w:hAnsi="Trebuchet MS"/>
        </w:rPr>
        <w:t xml:space="preserve">oraz </w:t>
      </w:r>
      <w:r w:rsidR="001A18BB" w:rsidRPr="00D461D5">
        <w:rPr>
          <w:rFonts w:ascii="Trebuchet MS" w:hAnsi="Trebuchet MS"/>
        </w:rPr>
        <w:t>spółki</w:t>
      </w:r>
      <w:r w:rsidRPr="00D461D5">
        <w:rPr>
          <w:rFonts w:ascii="Trebuchet MS" w:hAnsi="Trebuchet MS"/>
        </w:rPr>
        <w:t xml:space="preserve"> Gaz System – oper</w:t>
      </w:r>
      <w:r w:rsidR="001A18BB" w:rsidRPr="00D461D5">
        <w:rPr>
          <w:rFonts w:ascii="Trebuchet MS" w:hAnsi="Trebuchet MS"/>
        </w:rPr>
        <w:t>a</w:t>
      </w:r>
      <w:r w:rsidRPr="00D461D5">
        <w:rPr>
          <w:rFonts w:ascii="Trebuchet MS" w:hAnsi="Trebuchet MS"/>
        </w:rPr>
        <w:t>tora gazo</w:t>
      </w:r>
      <w:r w:rsidR="001A18BB" w:rsidRPr="00D461D5">
        <w:rPr>
          <w:rFonts w:ascii="Trebuchet MS" w:hAnsi="Trebuchet MS"/>
        </w:rPr>
        <w:t>ciągów na terenie Polski</w:t>
      </w:r>
      <w:r w:rsidRPr="0068303A">
        <w:rPr>
          <w:rFonts w:ascii="Trebuchet MS" w:hAnsi="Trebuchet MS"/>
        </w:rPr>
        <w:t xml:space="preserve">. Z </w:t>
      </w:r>
      <w:r w:rsidR="00D461D5">
        <w:rPr>
          <w:rFonts w:ascii="Trebuchet MS" w:hAnsi="Trebuchet MS"/>
        </w:rPr>
        <w:t xml:space="preserve">analiz </w:t>
      </w:r>
      <w:r w:rsidRPr="0068303A">
        <w:rPr>
          <w:rFonts w:ascii="Trebuchet MS" w:hAnsi="Trebuchet MS"/>
        </w:rPr>
        <w:t xml:space="preserve"> wynikało, że aktualna sytuacja na rynku gazu ziemnego charakteryzuje się wzmacnianiem pozycji PG</w:t>
      </w:r>
      <w:r w:rsidR="0067796E">
        <w:rPr>
          <w:rFonts w:ascii="Trebuchet MS" w:hAnsi="Trebuchet MS"/>
        </w:rPr>
        <w:t>N</w:t>
      </w:r>
      <w:r w:rsidRPr="0068303A">
        <w:rPr>
          <w:rFonts w:ascii="Trebuchet MS" w:hAnsi="Trebuchet MS"/>
        </w:rPr>
        <w:t>iG i ograniczaniem działalności przez konkurentów PGNiG i PKN</w:t>
      </w:r>
      <w:r w:rsidR="00D461D5">
        <w:rPr>
          <w:rFonts w:ascii="Trebuchet MS" w:hAnsi="Trebuchet MS"/>
        </w:rPr>
        <w:t xml:space="preserve"> Orlen</w:t>
      </w:r>
      <w:r w:rsidRPr="0068303A">
        <w:rPr>
          <w:rFonts w:ascii="Trebuchet MS" w:hAnsi="Trebuchet MS"/>
        </w:rPr>
        <w:t xml:space="preserve"> na rynku hurtowej sprzedaży gazu ziemnego. </w:t>
      </w:r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 xml:space="preserve">Utrzymywanie zapasów obowiązkowych przez przedsiębiorstwa zajmujące się obrotem gazem ziemnym z zagranicą jest warunkiem koniecznym dla zapewnienia możliwości prowadzenia takiej działalności. </w:t>
      </w:r>
      <w:r w:rsidR="00444C8D">
        <w:rPr>
          <w:rFonts w:ascii="Trebuchet MS" w:hAnsi="Trebuchet MS" w:cs="Calibri"/>
          <w:color w:val="212121"/>
          <w:shd w:val="clear" w:color="auto" w:fill="FFFFFF"/>
        </w:rPr>
        <w:t>Pom</w:t>
      </w:r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 xml:space="preserve">imo formalnej niezależności </w:t>
      </w:r>
      <w:proofErr w:type="spellStart"/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>Gas</w:t>
      </w:r>
      <w:proofErr w:type="spellEnd"/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 xml:space="preserve"> Storage Poland</w:t>
      </w:r>
      <w:r w:rsidR="00444C8D">
        <w:rPr>
          <w:rFonts w:ascii="Trebuchet MS" w:hAnsi="Trebuchet MS" w:cs="Calibri"/>
          <w:color w:val="212121"/>
          <w:shd w:val="clear" w:color="auto" w:fill="FFFFFF"/>
        </w:rPr>
        <w:t xml:space="preserve"> </w:t>
      </w:r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>od PGNiG</w:t>
      </w:r>
      <w:r w:rsidR="00444C8D">
        <w:rPr>
          <w:rFonts w:ascii="Trebuchet MS" w:hAnsi="Trebuchet MS" w:cs="Calibri"/>
          <w:color w:val="212121"/>
          <w:shd w:val="clear" w:color="auto" w:fill="FFFFFF"/>
        </w:rPr>
        <w:t>,</w:t>
      </w:r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 xml:space="preserve"> brak separacji właścicielskiej stwarza zachętę do preferowania członków swojej grupy kapitałowej w działalności </w:t>
      </w:r>
      <w:proofErr w:type="spellStart"/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>Gas</w:t>
      </w:r>
      <w:proofErr w:type="spellEnd"/>
      <w:r w:rsidR="000C6B6B" w:rsidRPr="000C6B6B">
        <w:rPr>
          <w:rFonts w:ascii="Trebuchet MS" w:hAnsi="Trebuchet MS" w:cs="Calibri"/>
          <w:color w:val="212121"/>
          <w:shd w:val="clear" w:color="auto" w:fill="FFFFFF"/>
        </w:rPr>
        <w:t xml:space="preserve"> Storage Poland. </w:t>
      </w:r>
      <w:r w:rsidR="004737E7">
        <w:rPr>
          <w:rFonts w:ascii="Trebuchet MS" w:hAnsi="Trebuchet MS" w:cs="Calibri"/>
          <w:color w:val="212121"/>
          <w:shd w:val="clear" w:color="auto" w:fill="FFFFFF"/>
        </w:rPr>
        <w:t xml:space="preserve">Istniałoby zatem ryzyko, że po koncentracji połączony podmiot mógłby </w:t>
      </w:r>
      <w:r w:rsidR="0067796E">
        <w:rPr>
          <w:rFonts w:ascii="Trebuchet MS" w:hAnsi="Trebuchet MS" w:cs="Calibri"/>
          <w:color w:val="212121"/>
          <w:shd w:val="clear" w:color="auto" w:fill="FFFFFF"/>
        </w:rPr>
        <w:t>ograniczać</w:t>
      </w:r>
      <w:r w:rsidR="004737E7">
        <w:rPr>
          <w:rFonts w:ascii="Trebuchet MS" w:hAnsi="Trebuchet MS" w:cs="Calibri"/>
          <w:color w:val="212121"/>
          <w:shd w:val="clear" w:color="auto" w:fill="FFFFFF"/>
        </w:rPr>
        <w:t xml:space="preserve"> dostęp</w:t>
      </w:r>
      <w:r w:rsidR="004737E7" w:rsidRPr="000C6B6B">
        <w:rPr>
          <w:rFonts w:ascii="Trebuchet MS" w:hAnsi="Trebuchet MS" w:cs="Calibri"/>
          <w:color w:val="212121"/>
          <w:shd w:val="clear" w:color="auto" w:fill="FFFFFF"/>
        </w:rPr>
        <w:t xml:space="preserve"> do magazynów gazu </w:t>
      </w:r>
      <w:r w:rsidR="004737E7">
        <w:rPr>
          <w:rFonts w:ascii="Trebuchet MS" w:hAnsi="Trebuchet MS" w:cs="Calibri"/>
          <w:color w:val="212121"/>
          <w:shd w:val="clear" w:color="auto" w:fill="FFFFFF"/>
        </w:rPr>
        <w:t xml:space="preserve">swoim </w:t>
      </w:r>
      <w:r w:rsidR="004737E7" w:rsidRPr="000C6B6B">
        <w:rPr>
          <w:rFonts w:ascii="Trebuchet MS" w:hAnsi="Trebuchet MS" w:cs="Calibri"/>
          <w:color w:val="212121"/>
          <w:shd w:val="clear" w:color="auto" w:fill="FFFFFF"/>
        </w:rPr>
        <w:t>konkurentom na rynkach hurtowej i detalicznej sprzedaży gazu.</w:t>
      </w:r>
    </w:p>
    <w:p w14:paraId="5316D245" w14:textId="0EDD986A" w:rsidR="005B6870" w:rsidRPr="0068303A" w:rsidRDefault="006549FB" w:rsidP="0068303A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Postę</w:t>
      </w:r>
      <w:r w:rsidR="00F51235" w:rsidRPr="005E1F6F">
        <w:rPr>
          <w:rFonts w:ascii="Trebuchet MS" w:hAnsi="Trebuchet MS"/>
        </w:rPr>
        <w:t>powanie wykazało jednocześnie, że możliwe jest wydanie decyzji warunkowej</w:t>
      </w:r>
      <w:r w:rsidR="00417121" w:rsidRPr="005E1F6F">
        <w:rPr>
          <w:rFonts w:ascii="Trebuchet MS" w:hAnsi="Trebuchet MS"/>
        </w:rPr>
        <w:t xml:space="preserve">, </w:t>
      </w:r>
      <w:r w:rsidR="005B6870" w:rsidRPr="005E1F6F">
        <w:rPr>
          <w:rFonts w:ascii="Trebuchet MS" w:hAnsi="Trebuchet MS"/>
        </w:rPr>
        <w:t>któr</w:t>
      </w:r>
      <w:r w:rsidR="00F51235" w:rsidRPr="005E1F6F">
        <w:rPr>
          <w:rFonts w:ascii="Trebuchet MS" w:hAnsi="Trebuchet MS"/>
        </w:rPr>
        <w:t>a</w:t>
      </w:r>
      <w:r w:rsidR="005B6870" w:rsidRPr="005E1F6F">
        <w:rPr>
          <w:rFonts w:ascii="Trebuchet MS" w:hAnsi="Trebuchet MS"/>
        </w:rPr>
        <w:t xml:space="preserve"> </w:t>
      </w:r>
      <w:r w:rsidR="000C7966">
        <w:rPr>
          <w:rFonts w:ascii="Trebuchet MS" w:hAnsi="Trebuchet MS"/>
        </w:rPr>
        <w:t>będzie miała pozytywne skutki</w:t>
      </w:r>
      <w:r w:rsidR="00D461D5" w:rsidRPr="005E1F6F">
        <w:rPr>
          <w:rFonts w:ascii="Trebuchet MS" w:hAnsi="Trebuchet MS"/>
        </w:rPr>
        <w:t xml:space="preserve"> dla konkurencji</w:t>
      </w:r>
      <w:r w:rsidR="005E1F6F" w:rsidRPr="005E1F6F">
        <w:rPr>
          <w:rFonts w:ascii="Trebuchet MS" w:hAnsi="Trebuchet MS"/>
        </w:rPr>
        <w:t>.</w:t>
      </w:r>
      <w:r w:rsidR="005E1F6F">
        <w:rPr>
          <w:rFonts w:ascii="Trebuchet MS" w:hAnsi="Trebuchet MS"/>
        </w:rPr>
        <w:t xml:space="preserve"> </w:t>
      </w:r>
      <w:r w:rsidR="00D461D5">
        <w:rPr>
          <w:rFonts w:ascii="Trebuchet MS" w:hAnsi="Trebuchet MS"/>
        </w:rPr>
        <w:t>Zgodnie z wydaną</w:t>
      </w:r>
      <w:r w:rsidR="005B6870" w:rsidRPr="0068303A">
        <w:rPr>
          <w:rFonts w:ascii="Trebuchet MS" w:hAnsi="Trebuchet MS"/>
        </w:rPr>
        <w:t xml:space="preserve"> </w:t>
      </w:r>
      <w:r w:rsidR="0067796E">
        <w:rPr>
          <w:rFonts w:ascii="Trebuchet MS" w:hAnsi="Trebuchet MS"/>
        </w:rPr>
        <w:t xml:space="preserve">przez Prezesa UOKiK </w:t>
      </w:r>
      <w:r w:rsidR="005B6870" w:rsidRPr="0068303A">
        <w:rPr>
          <w:rFonts w:ascii="Trebuchet MS" w:hAnsi="Trebuchet MS"/>
        </w:rPr>
        <w:t xml:space="preserve">decyzją transakcja może dojść do skutku pod warunkiem sprzedaży </w:t>
      </w:r>
      <w:r>
        <w:rPr>
          <w:rFonts w:ascii="Trebuchet MS" w:hAnsi="Trebuchet MS"/>
        </w:rPr>
        <w:t xml:space="preserve">spółki </w:t>
      </w:r>
      <w:proofErr w:type="spellStart"/>
      <w:r>
        <w:rPr>
          <w:rFonts w:ascii="Trebuchet MS" w:hAnsi="Trebuchet MS"/>
        </w:rPr>
        <w:t>Ga</w:t>
      </w:r>
      <w:r w:rsidR="002F03F3">
        <w:rPr>
          <w:rFonts w:ascii="Trebuchet MS" w:hAnsi="Trebuchet MS"/>
        </w:rPr>
        <w:t>s</w:t>
      </w:r>
      <w:proofErr w:type="spellEnd"/>
      <w:r>
        <w:rPr>
          <w:rFonts w:ascii="Trebuchet MS" w:hAnsi="Trebuchet MS"/>
        </w:rPr>
        <w:t xml:space="preserve"> Storage Poland</w:t>
      </w:r>
      <w:r w:rsidR="00D461D5">
        <w:rPr>
          <w:rFonts w:ascii="Trebuchet MS" w:hAnsi="Trebuchet MS"/>
        </w:rPr>
        <w:t xml:space="preserve"> -</w:t>
      </w:r>
      <w:r w:rsidR="005B6870" w:rsidRPr="0068303A">
        <w:rPr>
          <w:rFonts w:ascii="Trebuchet MS" w:hAnsi="Trebuchet MS"/>
        </w:rPr>
        <w:t xml:space="preserve"> zarządzającej magazynami</w:t>
      </w:r>
      <w:r w:rsidR="00D461D5">
        <w:rPr>
          <w:rFonts w:ascii="Trebuchet MS" w:hAnsi="Trebuchet MS"/>
        </w:rPr>
        <w:t xml:space="preserve"> gazu należącymi do PGNiG.</w:t>
      </w:r>
      <w:r w:rsidR="0049015E">
        <w:rPr>
          <w:rFonts w:ascii="Trebuchet MS" w:hAnsi="Trebuchet MS"/>
        </w:rPr>
        <w:t xml:space="preserve"> </w:t>
      </w:r>
      <w:r w:rsidR="0049015E" w:rsidRPr="00CE0BA4">
        <w:rPr>
          <w:rFonts w:ascii="Trebuchet MS" w:hAnsi="Trebuchet MS"/>
        </w:rPr>
        <w:t>Dzięki rozdzieleni</w:t>
      </w:r>
      <w:r w:rsidR="00A61F7F">
        <w:rPr>
          <w:rFonts w:ascii="Trebuchet MS" w:hAnsi="Trebuchet MS"/>
        </w:rPr>
        <w:t>u</w:t>
      </w:r>
      <w:r w:rsidR="0049015E" w:rsidRPr="00CE0BA4">
        <w:rPr>
          <w:rFonts w:ascii="Trebuchet MS" w:hAnsi="Trebuchet MS"/>
        </w:rPr>
        <w:t xml:space="preserve"> własności magazynów od ich zarządzania, zwiększ</w:t>
      </w:r>
      <w:r w:rsidR="002F03F3">
        <w:rPr>
          <w:rFonts w:ascii="Trebuchet MS" w:hAnsi="Trebuchet MS"/>
        </w:rPr>
        <w:t>y się</w:t>
      </w:r>
      <w:r w:rsidR="0049015E" w:rsidRPr="00CE0BA4">
        <w:rPr>
          <w:rFonts w:ascii="Trebuchet MS" w:hAnsi="Trebuchet MS"/>
        </w:rPr>
        <w:t xml:space="preserve"> dostępność do tej infrastruktury dla podmiotów zewnętrznych</w:t>
      </w:r>
      <w:r w:rsidR="002F03F3">
        <w:rPr>
          <w:rFonts w:ascii="Trebuchet MS" w:hAnsi="Trebuchet MS"/>
        </w:rPr>
        <w:t xml:space="preserve"> tj. konkurentów PGNiG i Orlen</w:t>
      </w:r>
      <w:r w:rsidR="0049015E" w:rsidRPr="00CE0BA4">
        <w:rPr>
          <w:rFonts w:ascii="Trebuchet MS" w:hAnsi="Trebuchet MS"/>
        </w:rPr>
        <w:t xml:space="preserve">. </w:t>
      </w:r>
      <w:r w:rsidR="004F621D" w:rsidRPr="00444C8D">
        <w:rPr>
          <w:rFonts w:ascii="Trebuchet MS" w:hAnsi="Trebuchet MS"/>
        </w:rPr>
        <w:t>Istot</w:t>
      </w:r>
      <w:r w:rsidR="0067796E">
        <w:rPr>
          <w:rFonts w:ascii="Trebuchet MS" w:hAnsi="Trebuchet MS"/>
        </w:rPr>
        <w:t>ą warunku</w:t>
      </w:r>
      <w:r w:rsidR="004F621D" w:rsidRPr="00444C8D">
        <w:rPr>
          <w:rFonts w:ascii="Trebuchet MS" w:hAnsi="Trebuchet MS"/>
        </w:rPr>
        <w:t xml:space="preserve"> jest także</w:t>
      </w:r>
      <w:r w:rsidR="0067796E">
        <w:rPr>
          <w:rFonts w:ascii="Trebuchet MS" w:hAnsi="Trebuchet MS"/>
        </w:rPr>
        <w:t xml:space="preserve"> to</w:t>
      </w:r>
      <w:r w:rsidR="004F621D" w:rsidRPr="00444C8D">
        <w:rPr>
          <w:rFonts w:ascii="Trebuchet MS" w:hAnsi="Trebuchet MS"/>
        </w:rPr>
        <w:t>, że n</w:t>
      </w:r>
      <w:r w:rsidR="005B6870" w:rsidRPr="00444C8D">
        <w:rPr>
          <w:rFonts w:ascii="Trebuchet MS" w:hAnsi="Trebuchet MS"/>
        </w:rPr>
        <w:t>abywc</w:t>
      </w:r>
      <w:r w:rsidR="0067796E">
        <w:rPr>
          <w:rFonts w:ascii="Trebuchet MS" w:hAnsi="Trebuchet MS"/>
        </w:rPr>
        <w:t xml:space="preserve">a spółki </w:t>
      </w:r>
      <w:proofErr w:type="spellStart"/>
      <w:r w:rsidR="0067796E">
        <w:rPr>
          <w:rFonts w:ascii="Trebuchet MS" w:hAnsi="Trebuchet MS"/>
        </w:rPr>
        <w:t>Gas</w:t>
      </w:r>
      <w:proofErr w:type="spellEnd"/>
      <w:r w:rsidR="0067796E">
        <w:rPr>
          <w:rFonts w:ascii="Trebuchet MS" w:hAnsi="Trebuchet MS"/>
        </w:rPr>
        <w:t xml:space="preserve"> Storage Poland </w:t>
      </w:r>
      <w:r w:rsidR="00D461D5" w:rsidRPr="00444C8D">
        <w:rPr>
          <w:rFonts w:ascii="Trebuchet MS" w:hAnsi="Trebuchet MS"/>
        </w:rPr>
        <w:t>nie mo</w:t>
      </w:r>
      <w:r w:rsidR="0067796E">
        <w:rPr>
          <w:rFonts w:ascii="Trebuchet MS" w:hAnsi="Trebuchet MS"/>
        </w:rPr>
        <w:t>że</w:t>
      </w:r>
      <w:r w:rsidR="00D461D5" w:rsidRPr="00444C8D">
        <w:rPr>
          <w:rFonts w:ascii="Trebuchet MS" w:hAnsi="Trebuchet MS"/>
        </w:rPr>
        <w:t xml:space="preserve"> prowadzić działalności</w:t>
      </w:r>
      <w:r w:rsidR="005B6870" w:rsidRPr="00444C8D">
        <w:rPr>
          <w:rFonts w:ascii="Trebuchet MS" w:hAnsi="Trebuchet MS"/>
        </w:rPr>
        <w:t xml:space="preserve"> na rynkach obrotu gazem ziemnym. Ponadto</w:t>
      </w:r>
      <w:r w:rsidR="005B6870" w:rsidRPr="0068303A">
        <w:rPr>
          <w:rFonts w:ascii="Trebuchet MS" w:hAnsi="Trebuchet MS"/>
        </w:rPr>
        <w:t xml:space="preserve"> nabywca musi zostać zaakceptowany przez Prezesa UOKiK</w:t>
      </w:r>
      <w:r w:rsidR="00D461D5">
        <w:rPr>
          <w:rFonts w:ascii="Trebuchet MS" w:hAnsi="Trebuchet MS"/>
        </w:rPr>
        <w:t>.</w:t>
      </w:r>
      <w:r w:rsidR="00B0549A">
        <w:rPr>
          <w:rFonts w:ascii="Trebuchet MS" w:hAnsi="Trebuchet MS"/>
        </w:rPr>
        <w:t xml:space="preserve"> </w:t>
      </w:r>
      <w:r w:rsidR="00B0549A" w:rsidRPr="005E1F6F">
        <w:rPr>
          <w:rFonts w:ascii="Trebuchet MS" w:hAnsi="Trebuchet MS"/>
        </w:rPr>
        <w:t xml:space="preserve">Warunek ma obowiązywać dopóki udział </w:t>
      </w:r>
      <w:r w:rsidR="0049015E">
        <w:rPr>
          <w:rFonts w:ascii="Trebuchet MS" w:hAnsi="Trebuchet MS"/>
        </w:rPr>
        <w:t xml:space="preserve">połączonego podmiotu </w:t>
      </w:r>
      <w:r w:rsidR="00B0549A" w:rsidRPr="005E1F6F">
        <w:rPr>
          <w:rFonts w:ascii="Trebuchet MS" w:hAnsi="Trebuchet MS"/>
        </w:rPr>
        <w:t>w rynku magazynowania gazu w Polsce będzie wynosił powyżej 40</w:t>
      </w:r>
      <w:r w:rsidR="00F51235" w:rsidRPr="005E1F6F">
        <w:rPr>
          <w:rFonts w:ascii="Trebuchet MS" w:hAnsi="Trebuchet MS"/>
        </w:rPr>
        <w:t xml:space="preserve"> proc.</w:t>
      </w:r>
      <w:r w:rsidR="0049015E">
        <w:rPr>
          <w:rFonts w:ascii="Trebuchet MS" w:hAnsi="Trebuchet MS"/>
        </w:rPr>
        <w:t xml:space="preserve"> De</w:t>
      </w:r>
      <w:r w:rsidR="00CE0BA4">
        <w:rPr>
          <w:rFonts w:ascii="Trebuchet MS" w:hAnsi="Trebuchet MS"/>
        </w:rPr>
        <w:t>cyzja jest ważna przez dwa lata.</w:t>
      </w:r>
    </w:p>
    <w:p w14:paraId="2D8D730A" w14:textId="77777777" w:rsidR="005B6870" w:rsidRPr="00BA5E1D" w:rsidRDefault="005B6870" w:rsidP="0068303A">
      <w:pPr>
        <w:spacing w:after="240" w:line="360" w:lineRule="auto"/>
        <w:jc w:val="both"/>
        <w:rPr>
          <w:rFonts w:ascii="Trebuchet MS" w:hAnsi="Trebuchet MS"/>
          <w:i/>
        </w:rPr>
      </w:pPr>
      <w:r w:rsidRPr="0068303A">
        <w:rPr>
          <w:rFonts w:ascii="Trebuchet MS" w:hAnsi="Trebuchet MS"/>
        </w:rPr>
        <w:t xml:space="preserve">- </w:t>
      </w:r>
      <w:r w:rsidRPr="00D461D5">
        <w:rPr>
          <w:rFonts w:ascii="Trebuchet MS" w:hAnsi="Trebuchet MS"/>
          <w:i/>
        </w:rPr>
        <w:t xml:space="preserve">Realizacja warunku </w:t>
      </w:r>
      <w:r w:rsidR="00D461D5">
        <w:rPr>
          <w:rFonts w:ascii="Trebuchet MS" w:hAnsi="Trebuchet MS"/>
          <w:i/>
        </w:rPr>
        <w:t>ułatwi</w:t>
      </w:r>
      <w:r w:rsidRPr="00D461D5">
        <w:rPr>
          <w:rFonts w:ascii="Trebuchet MS" w:hAnsi="Trebuchet MS"/>
          <w:i/>
        </w:rPr>
        <w:t xml:space="preserve"> </w:t>
      </w:r>
      <w:r w:rsidR="00D461D5">
        <w:rPr>
          <w:rFonts w:ascii="Trebuchet MS" w:hAnsi="Trebuchet MS"/>
          <w:i/>
        </w:rPr>
        <w:t>konkurentom uczestników koncentracji dostęp</w:t>
      </w:r>
      <w:r w:rsidRPr="00D461D5">
        <w:rPr>
          <w:rFonts w:ascii="Trebuchet MS" w:hAnsi="Trebuchet MS"/>
          <w:i/>
        </w:rPr>
        <w:t xml:space="preserve"> do magazynów gazu ziemnego. Powinno to stworzyć sprzyjające warunki do zwiększenia importu gazu ziemnego przez te podmioty. </w:t>
      </w:r>
      <w:r w:rsidR="00BA5E1D">
        <w:rPr>
          <w:rFonts w:ascii="Trebuchet MS" w:hAnsi="Trebuchet MS"/>
          <w:i/>
        </w:rPr>
        <w:t>Ł</w:t>
      </w:r>
      <w:r w:rsidR="00D461D5">
        <w:rPr>
          <w:rFonts w:ascii="Trebuchet MS" w:hAnsi="Trebuchet MS"/>
          <w:i/>
        </w:rPr>
        <w:t xml:space="preserve">atwiejsze </w:t>
      </w:r>
      <w:r w:rsidR="00BA5E1D">
        <w:rPr>
          <w:rFonts w:ascii="Trebuchet MS" w:hAnsi="Trebuchet MS"/>
          <w:i/>
        </w:rPr>
        <w:t xml:space="preserve">będzie bowiem </w:t>
      </w:r>
      <w:r w:rsidRPr="00D461D5">
        <w:rPr>
          <w:rFonts w:ascii="Trebuchet MS" w:hAnsi="Trebuchet MS"/>
          <w:i/>
        </w:rPr>
        <w:t>spełnienie obowiązków nakładanych przez prawo energetyczne na importeró</w:t>
      </w:r>
      <w:r w:rsidR="00D461D5">
        <w:rPr>
          <w:rFonts w:ascii="Trebuchet MS" w:hAnsi="Trebuchet MS"/>
          <w:i/>
        </w:rPr>
        <w:t>w w zakresie magazynowania gazu</w:t>
      </w:r>
      <w:r w:rsidRPr="00D461D5">
        <w:rPr>
          <w:rFonts w:ascii="Trebuchet MS" w:hAnsi="Trebuchet MS"/>
          <w:i/>
        </w:rPr>
        <w:t>. Dzięki temu może pojawić się więcej niezależnych ofert na gaz ziemny zarówno hurtowych, jak i detalicznych</w:t>
      </w:r>
      <w:r w:rsidRPr="0068303A">
        <w:rPr>
          <w:rFonts w:ascii="Trebuchet MS" w:hAnsi="Trebuchet MS"/>
        </w:rPr>
        <w:t xml:space="preserve"> – mówi Prezes UOKiK Tomasz Chróstny.</w:t>
      </w:r>
    </w:p>
    <w:p w14:paraId="26831589" w14:textId="77777777" w:rsidR="00DD2D73" w:rsidRPr="0068303A" w:rsidRDefault="00DD2D73" w:rsidP="0068303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68303A">
        <w:rPr>
          <w:rFonts w:ascii="Trebuchet MS" w:hAnsi="Trebuchet MS" w:cs="Tahoma"/>
          <w:color w:val="000000" w:themeColor="text1"/>
          <w:sz w:val="22"/>
          <w:szCs w:val="22"/>
        </w:rPr>
        <w:t>Zgodnie z przepisami, transakcja podlega zgłoszeniu do urzędu antymonopolowego, jeżeli biorą w niej udział przedsiębiorcy, których łączny obrót w roku poprzedzającym przekroczył 1 mld euro na świecie lub 50 mln euro w Polsce. Oceniając koncentrację, Prezes UOKiK może zakazać transakcji, wydać zgodę na jej dokonanie bądź uzależnić zgodę od spełnienia przez przedsiębiorcę dodatkowych warunków. Wydane decyzje są ważne przez dwa lata.</w:t>
      </w:r>
    </w:p>
    <w:p w14:paraId="0DDDE684" w14:textId="77777777" w:rsidR="00DD2D73" w:rsidRPr="0068303A" w:rsidRDefault="00DD2D73" w:rsidP="0068303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68303A">
        <w:rPr>
          <w:rFonts w:ascii="Trebuchet MS" w:hAnsi="Trebuchet MS" w:cs="Tahoma"/>
          <w:color w:val="000000" w:themeColor="text1"/>
          <w:sz w:val="22"/>
          <w:szCs w:val="22"/>
        </w:rPr>
        <w:t>Decyzja nie jest prawomocna. Zgłaszającemu przysługuje odwołanie do Sądu Ochrony Konkurencji i Konsumentów. Jednocześnie informujemy, że </w:t>
      </w:r>
      <w:hyperlink r:id="rId10" w:history="1">
        <w:r w:rsidRPr="0068303A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>na stronie internetowej urzędu </w:t>
        </w:r>
      </w:hyperlink>
      <w:r w:rsidRPr="0068303A">
        <w:rPr>
          <w:rFonts w:ascii="Trebuchet MS" w:hAnsi="Trebuchet MS" w:cs="Tahoma"/>
          <w:color w:val="000000" w:themeColor="text1"/>
          <w:sz w:val="22"/>
          <w:szCs w:val="22"/>
        </w:rPr>
        <w:t xml:space="preserve">zamieszczane są informacje na temat wszystkich prowadzonych przez </w:t>
      </w:r>
      <w:r w:rsidR="005F38C6" w:rsidRPr="0068303A">
        <w:rPr>
          <w:rFonts w:ascii="Trebuchet MS" w:hAnsi="Trebuchet MS" w:cs="Tahoma"/>
          <w:color w:val="000000" w:themeColor="text1"/>
          <w:sz w:val="22"/>
          <w:szCs w:val="22"/>
        </w:rPr>
        <w:t xml:space="preserve">Prezesa </w:t>
      </w:r>
      <w:r w:rsidRPr="0068303A">
        <w:rPr>
          <w:rFonts w:ascii="Trebuchet MS" w:hAnsi="Trebuchet MS" w:cs="Tahoma"/>
          <w:color w:val="000000" w:themeColor="text1"/>
          <w:sz w:val="22"/>
          <w:szCs w:val="22"/>
        </w:rPr>
        <w:t>Urz</w:t>
      </w:r>
      <w:r w:rsidR="005F38C6" w:rsidRPr="0068303A">
        <w:rPr>
          <w:rFonts w:ascii="Trebuchet MS" w:hAnsi="Trebuchet MS" w:cs="Tahoma"/>
          <w:color w:val="000000" w:themeColor="text1"/>
          <w:sz w:val="22"/>
          <w:szCs w:val="22"/>
        </w:rPr>
        <w:t>ędu</w:t>
      </w:r>
      <w:r w:rsidRPr="0068303A">
        <w:rPr>
          <w:rFonts w:ascii="Trebuchet MS" w:hAnsi="Trebuchet MS" w:cs="Tahoma"/>
          <w:color w:val="000000" w:themeColor="text1"/>
          <w:sz w:val="22"/>
          <w:szCs w:val="22"/>
        </w:rPr>
        <w:t xml:space="preserve"> postępowań antymonopolowych w sprawach koncentracji.</w:t>
      </w:r>
    </w:p>
    <w:p w14:paraId="14E0FCD8" w14:textId="77777777" w:rsidR="00E67B98" w:rsidRPr="0068303A" w:rsidRDefault="00E67B98" w:rsidP="0068303A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</w:p>
    <w:sectPr w:rsidR="00E67B98" w:rsidRPr="0068303A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7003" w14:textId="77777777" w:rsidR="00A33464" w:rsidRDefault="00A33464">
      <w:r>
        <w:separator/>
      </w:r>
    </w:p>
  </w:endnote>
  <w:endnote w:type="continuationSeparator" w:id="0">
    <w:p w14:paraId="25796FE5" w14:textId="77777777" w:rsidR="00A33464" w:rsidRDefault="00A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EE9D" w14:textId="77777777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3E181" wp14:editId="220F03E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7C77B4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F86C" w14:textId="77777777" w:rsidR="00A33464" w:rsidRDefault="00A33464">
      <w:r>
        <w:separator/>
      </w:r>
    </w:p>
  </w:footnote>
  <w:footnote w:type="continuationSeparator" w:id="0">
    <w:p w14:paraId="7E0DAA90" w14:textId="77777777" w:rsidR="00A33464" w:rsidRDefault="00A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83A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F3F8EDE" wp14:editId="0458AAFA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4D12"/>
    <w:multiLevelType w:val="hybridMultilevel"/>
    <w:tmpl w:val="F0D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20"/>
  </w:num>
  <w:num w:numId="11">
    <w:abstractNumId w:val="1"/>
  </w:num>
  <w:num w:numId="12">
    <w:abstractNumId w:val="17"/>
  </w:num>
  <w:num w:numId="13">
    <w:abstractNumId w:val="22"/>
  </w:num>
  <w:num w:numId="14">
    <w:abstractNumId w:val="18"/>
  </w:num>
  <w:num w:numId="15">
    <w:abstractNumId w:val="15"/>
  </w:num>
  <w:num w:numId="16">
    <w:abstractNumId w:val="12"/>
  </w:num>
  <w:num w:numId="17">
    <w:abstractNumId w:val="21"/>
  </w:num>
  <w:num w:numId="18">
    <w:abstractNumId w:val="16"/>
  </w:num>
  <w:num w:numId="19">
    <w:abstractNumId w:val="8"/>
  </w:num>
  <w:num w:numId="20">
    <w:abstractNumId w:val="3"/>
  </w:num>
  <w:num w:numId="21">
    <w:abstractNumId w:val="14"/>
  </w:num>
  <w:num w:numId="22">
    <w:abstractNumId w:val="11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F00"/>
    <w:rsid w:val="00013DA7"/>
    <w:rsid w:val="000151C4"/>
    <w:rsid w:val="00020356"/>
    <w:rsid w:val="00020619"/>
    <w:rsid w:val="00023634"/>
    <w:rsid w:val="00023BF4"/>
    <w:rsid w:val="0002523D"/>
    <w:rsid w:val="00030D65"/>
    <w:rsid w:val="000422D7"/>
    <w:rsid w:val="00042D8F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C6B6B"/>
    <w:rsid w:val="000C7966"/>
    <w:rsid w:val="000D047A"/>
    <w:rsid w:val="000D0BE5"/>
    <w:rsid w:val="000D322E"/>
    <w:rsid w:val="000D5CE2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142F4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51353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9BE"/>
    <w:rsid w:val="00173D8A"/>
    <w:rsid w:val="00175804"/>
    <w:rsid w:val="0017590C"/>
    <w:rsid w:val="001806B9"/>
    <w:rsid w:val="00185F4B"/>
    <w:rsid w:val="00190D5A"/>
    <w:rsid w:val="00193E20"/>
    <w:rsid w:val="001955AB"/>
    <w:rsid w:val="00195C7A"/>
    <w:rsid w:val="001979B5"/>
    <w:rsid w:val="001A0D0B"/>
    <w:rsid w:val="001A18BB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D65DF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5A4"/>
    <w:rsid w:val="002157BB"/>
    <w:rsid w:val="00216EC5"/>
    <w:rsid w:val="00216FCB"/>
    <w:rsid w:val="00221C87"/>
    <w:rsid w:val="002256CB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4A02"/>
    <w:rsid w:val="002E75F7"/>
    <w:rsid w:val="002F03F3"/>
    <w:rsid w:val="002F1BF3"/>
    <w:rsid w:val="002F4D43"/>
    <w:rsid w:val="002F649A"/>
    <w:rsid w:val="002F6639"/>
    <w:rsid w:val="002F7C31"/>
    <w:rsid w:val="00300717"/>
    <w:rsid w:val="0030081C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3496B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5A37"/>
    <w:rsid w:val="00377A0D"/>
    <w:rsid w:val="003826A2"/>
    <w:rsid w:val="00384861"/>
    <w:rsid w:val="00385B68"/>
    <w:rsid w:val="0038677D"/>
    <w:rsid w:val="00391203"/>
    <w:rsid w:val="0039161E"/>
    <w:rsid w:val="00391B84"/>
    <w:rsid w:val="00391C9D"/>
    <w:rsid w:val="00391CE3"/>
    <w:rsid w:val="003A141D"/>
    <w:rsid w:val="003A3059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2F82"/>
    <w:rsid w:val="00416D66"/>
    <w:rsid w:val="00417121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4C8D"/>
    <w:rsid w:val="00447697"/>
    <w:rsid w:val="00461A16"/>
    <w:rsid w:val="00462582"/>
    <w:rsid w:val="00462CFA"/>
    <w:rsid w:val="00465213"/>
    <w:rsid w:val="004737E7"/>
    <w:rsid w:val="004765E5"/>
    <w:rsid w:val="004843FF"/>
    <w:rsid w:val="00486DB1"/>
    <w:rsid w:val="0049015E"/>
    <w:rsid w:val="00493E10"/>
    <w:rsid w:val="00494A19"/>
    <w:rsid w:val="004972E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E62A6"/>
    <w:rsid w:val="004E69D3"/>
    <w:rsid w:val="004E7FE2"/>
    <w:rsid w:val="004F3B74"/>
    <w:rsid w:val="004F5433"/>
    <w:rsid w:val="004F621D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1686B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857"/>
    <w:rsid w:val="005739D3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1685"/>
    <w:rsid w:val="005B22CB"/>
    <w:rsid w:val="005B3084"/>
    <w:rsid w:val="005B36C3"/>
    <w:rsid w:val="005B6870"/>
    <w:rsid w:val="005C0D39"/>
    <w:rsid w:val="005C3E10"/>
    <w:rsid w:val="005C512C"/>
    <w:rsid w:val="005C6232"/>
    <w:rsid w:val="005D12AD"/>
    <w:rsid w:val="005D5837"/>
    <w:rsid w:val="005D6F7A"/>
    <w:rsid w:val="005D7384"/>
    <w:rsid w:val="005E1F6F"/>
    <w:rsid w:val="005E4E28"/>
    <w:rsid w:val="005E5B88"/>
    <w:rsid w:val="005E74E3"/>
    <w:rsid w:val="005E78EE"/>
    <w:rsid w:val="005E794D"/>
    <w:rsid w:val="005E7CC1"/>
    <w:rsid w:val="005F139F"/>
    <w:rsid w:val="005F1EBD"/>
    <w:rsid w:val="005F38C6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5436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5480B"/>
    <w:rsid w:val="006549FB"/>
    <w:rsid w:val="00664D83"/>
    <w:rsid w:val="006650E2"/>
    <w:rsid w:val="00667FE0"/>
    <w:rsid w:val="0067485D"/>
    <w:rsid w:val="00674DCA"/>
    <w:rsid w:val="00674EEC"/>
    <w:rsid w:val="0067796E"/>
    <w:rsid w:val="00681BB8"/>
    <w:rsid w:val="0068303A"/>
    <w:rsid w:val="006847C5"/>
    <w:rsid w:val="00686931"/>
    <w:rsid w:val="00686B63"/>
    <w:rsid w:val="00691716"/>
    <w:rsid w:val="00692A90"/>
    <w:rsid w:val="006A2065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2491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B0"/>
    <w:rsid w:val="007769C6"/>
    <w:rsid w:val="00776C4F"/>
    <w:rsid w:val="00777C16"/>
    <w:rsid w:val="007838E4"/>
    <w:rsid w:val="007846DC"/>
    <w:rsid w:val="00785049"/>
    <w:rsid w:val="0078547E"/>
    <w:rsid w:val="007A08E0"/>
    <w:rsid w:val="007A19D8"/>
    <w:rsid w:val="007A4C2B"/>
    <w:rsid w:val="007A7765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37684"/>
    <w:rsid w:val="0084683C"/>
    <w:rsid w:val="0085010E"/>
    <w:rsid w:val="00852526"/>
    <w:rsid w:val="0085454F"/>
    <w:rsid w:val="0085538F"/>
    <w:rsid w:val="00860F4C"/>
    <w:rsid w:val="00863651"/>
    <w:rsid w:val="008646E8"/>
    <w:rsid w:val="00870353"/>
    <w:rsid w:val="00872042"/>
    <w:rsid w:val="0087354F"/>
    <w:rsid w:val="0087666F"/>
    <w:rsid w:val="00877B89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0B95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309C"/>
    <w:rsid w:val="00962AF8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737"/>
    <w:rsid w:val="00996DDA"/>
    <w:rsid w:val="00997528"/>
    <w:rsid w:val="0099796A"/>
    <w:rsid w:val="009A06AC"/>
    <w:rsid w:val="009A169F"/>
    <w:rsid w:val="009A5919"/>
    <w:rsid w:val="009A6562"/>
    <w:rsid w:val="009A6F2F"/>
    <w:rsid w:val="009B54B9"/>
    <w:rsid w:val="009C0B46"/>
    <w:rsid w:val="009C1346"/>
    <w:rsid w:val="009C5291"/>
    <w:rsid w:val="009D05C8"/>
    <w:rsid w:val="009D3478"/>
    <w:rsid w:val="009D46DA"/>
    <w:rsid w:val="009D74C9"/>
    <w:rsid w:val="009E3C0B"/>
    <w:rsid w:val="009E3E98"/>
    <w:rsid w:val="009F226C"/>
    <w:rsid w:val="009F3D42"/>
    <w:rsid w:val="009F54DD"/>
    <w:rsid w:val="009F5776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9CA"/>
    <w:rsid w:val="00A239AA"/>
    <w:rsid w:val="00A30D51"/>
    <w:rsid w:val="00A326A7"/>
    <w:rsid w:val="00A33464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1F7F"/>
    <w:rsid w:val="00A62659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3E82"/>
    <w:rsid w:val="00AB4D1A"/>
    <w:rsid w:val="00AB572D"/>
    <w:rsid w:val="00AB58A6"/>
    <w:rsid w:val="00AB59EC"/>
    <w:rsid w:val="00AD0728"/>
    <w:rsid w:val="00AD0D11"/>
    <w:rsid w:val="00AD7BF5"/>
    <w:rsid w:val="00AE2923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04761"/>
    <w:rsid w:val="00B0549A"/>
    <w:rsid w:val="00B117A2"/>
    <w:rsid w:val="00B22863"/>
    <w:rsid w:val="00B248EB"/>
    <w:rsid w:val="00B2717C"/>
    <w:rsid w:val="00B30B95"/>
    <w:rsid w:val="00B30FC9"/>
    <w:rsid w:val="00B31575"/>
    <w:rsid w:val="00B35DD3"/>
    <w:rsid w:val="00B41502"/>
    <w:rsid w:val="00B42C8F"/>
    <w:rsid w:val="00B43478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5E1D"/>
    <w:rsid w:val="00BA72A4"/>
    <w:rsid w:val="00BA79F0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4484C"/>
    <w:rsid w:val="00C455BE"/>
    <w:rsid w:val="00C60D6D"/>
    <w:rsid w:val="00C61165"/>
    <w:rsid w:val="00C61D8E"/>
    <w:rsid w:val="00C63AA8"/>
    <w:rsid w:val="00C646E8"/>
    <w:rsid w:val="00C64D3B"/>
    <w:rsid w:val="00C6789B"/>
    <w:rsid w:val="00C71359"/>
    <w:rsid w:val="00C72782"/>
    <w:rsid w:val="00C74E5C"/>
    <w:rsid w:val="00C767DC"/>
    <w:rsid w:val="00C768F4"/>
    <w:rsid w:val="00C7783C"/>
    <w:rsid w:val="00C80CC5"/>
    <w:rsid w:val="00C81210"/>
    <w:rsid w:val="00C81501"/>
    <w:rsid w:val="00C87E3C"/>
    <w:rsid w:val="00C97159"/>
    <w:rsid w:val="00C977CD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0BA4"/>
    <w:rsid w:val="00CE17A4"/>
    <w:rsid w:val="00CE25C8"/>
    <w:rsid w:val="00CE3CEC"/>
    <w:rsid w:val="00CE654E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61D5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B0FB2"/>
    <w:rsid w:val="00EB35CF"/>
    <w:rsid w:val="00EC18C9"/>
    <w:rsid w:val="00EC63CB"/>
    <w:rsid w:val="00EC6CB6"/>
    <w:rsid w:val="00EC6CD5"/>
    <w:rsid w:val="00ED3E58"/>
    <w:rsid w:val="00ED6658"/>
    <w:rsid w:val="00EE07E5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32DC"/>
    <w:rsid w:val="00F139AC"/>
    <w:rsid w:val="00F159F9"/>
    <w:rsid w:val="00F21EAC"/>
    <w:rsid w:val="00F308AA"/>
    <w:rsid w:val="00F31235"/>
    <w:rsid w:val="00F3243D"/>
    <w:rsid w:val="00F33688"/>
    <w:rsid w:val="00F36C9E"/>
    <w:rsid w:val="00F41789"/>
    <w:rsid w:val="00F468AC"/>
    <w:rsid w:val="00F46D0D"/>
    <w:rsid w:val="00F51235"/>
    <w:rsid w:val="00F528F4"/>
    <w:rsid w:val="00F53601"/>
    <w:rsid w:val="00F55206"/>
    <w:rsid w:val="00F56C60"/>
    <w:rsid w:val="00F606A6"/>
    <w:rsid w:val="00F70A48"/>
    <w:rsid w:val="00F75CF3"/>
    <w:rsid w:val="00F845E2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36B9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D13F9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2C56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koncentracje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3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4E69-6D6D-4EBD-A737-C06B78A016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D5DA79-7E3C-4CA3-994B-0AE1BE5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2021-07-13T12:40:00Z</cp:lastPrinted>
  <dcterms:created xsi:type="dcterms:W3CDTF">2022-03-16T08:12:00Z</dcterms:created>
  <dcterms:modified xsi:type="dcterms:W3CDTF">2022-03-16T08:30:00Z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03b8dfb1-892d-4284-b298-a00ee711aa14</vt:lpwstr>
  </property>
  <property fmtid="{D5CDD505-2E9C-101B-9397-08002B2CF9AE}" pid="3" name="bjSaver">
    <vt:lpwstr>68mz5UYtFDG8iHQhKlKdqmRT9SxsdjhV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