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F5" w:rsidRDefault="00934349" w:rsidP="004937F5">
      <w:pPr>
        <w:spacing w:after="240" w:line="360" w:lineRule="auto"/>
        <w:jc w:val="both"/>
        <w:rPr>
          <w:rFonts w:ascii="Times New Roman" w:hAnsi="Times New Roman"/>
          <w:color w:val="000000"/>
          <w:sz w:val="32"/>
          <w:szCs w:val="32"/>
          <w:lang w:eastAsia="en-GB"/>
        </w:rPr>
      </w:pPr>
      <w:bookmarkStart w:id="0" w:name="_GoBack"/>
      <w:r>
        <w:rPr>
          <w:color w:val="000000"/>
          <w:sz w:val="32"/>
          <w:szCs w:val="32"/>
        </w:rPr>
        <w:t>KONTROLA KONCENTRACJI W 2021 ROKU</w:t>
      </w:r>
    </w:p>
    <w:bookmarkEnd w:id="0"/>
    <w:p w:rsidR="004937F5" w:rsidRDefault="00D85C57" w:rsidP="004937F5">
      <w:pPr>
        <w:numPr>
          <w:ilvl w:val="0"/>
          <w:numId w:val="12"/>
        </w:numPr>
        <w:spacing w:after="240" w:line="360" w:lineRule="auto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2021</w:t>
      </w:r>
      <w:r w:rsidR="00B07951">
        <w:rPr>
          <w:b/>
          <w:bCs/>
          <w:color w:val="000000"/>
          <w:sz w:val="22"/>
        </w:rPr>
        <w:t xml:space="preserve"> rok</w:t>
      </w:r>
      <w:r w:rsidR="00170BDD">
        <w:rPr>
          <w:b/>
          <w:bCs/>
          <w:color w:val="000000"/>
          <w:sz w:val="22"/>
        </w:rPr>
        <w:t xml:space="preserve"> był rekordowy pod względem </w:t>
      </w:r>
      <w:r>
        <w:rPr>
          <w:b/>
          <w:bCs/>
          <w:color w:val="000000"/>
          <w:sz w:val="22"/>
        </w:rPr>
        <w:t xml:space="preserve">fuzji i przejęć </w:t>
      </w:r>
      <w:r w:rsidR="001A349A">
        <w:rPr>
          <w:b/>
          <w:bCs/>
          <w:color w:val="000000"/>
          <w:sz w:val="22"/>
        </w:rPr>
        <w:t>przedsiębiorców</w:t>
      </w:r>
      <w:r w:rsidR="004A31A7">
        <w:rPr>
          <w:b/>
          <w:bCs/>
          <w:color w:val="000000"/>
          <w:sz w:val="22"/>
        </w:rPr>
        <w:t>.</w:t>
      </w:r>
    </w:p>
    <w:p w:rsidR="001A349A" w:rsidRDefault="00D85C57" w:rsidP="001A349A">
      <w:pPr>
        <w:numPr>
          <w:ilvl w:val="0"/>
          <w:numId w:val="12"/>
        </w:numPr>
        <w:spacing w:after="240" w:line="360" w:lineRule="auto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Prezes UOKiK wydał 300 decyzji</w:t>
      </w:r>
      <w:r w:rsidR="008E6270">
        <w:rPr>
          <w:b/>
          <w:bCs/>
          <w:color w:val="000000"/>
          <w:sz w:val="22"/>
        </w:rPr>
        <w:t>, czyli 57 więcej niż rok wcześniej</w:t>
      </w:r>
      <w:r>
        <w:rPr>
          <w:b/>
          <w:bCs/>
          <w:color w:val="000000"/>
          <w:sz w:val="22"/>
        </w:rPr>
        <w:t xml:space="preserve"> </w:t>
      </w:r>
      <w:r w:rsidR="001A349A">
        <w:rPr>
          <w:b/>
          <w:bCs/>
          <w:color w:val="000000"/>
          <w:sz w:val="22"/>
        </w:rPr>
        <w:t>i prowadził 376</w:t>
      </w:r>
      <w:r>
        <w:rPr>
          <w:b/>
          <w:bCs/>
          <w:color w:val="000000"/>
          <w:sz w:val="22"/>
        </w:rPr>
        <w:t xml:space="preserve"> postępowań </w:t>
      </w:r>
      <w:r w:rsidR="009D1F57">
        <w:rPr>
          <w:b/>
          <w:bCs/>
          <w:color w:val="000000"/>
          <w:sz w:val="22"/>
        </w:rPr>
        <w:t xml:space="preserve">z zakresu kontroli koncentracji. </w:t>
      </w:r>
    </w:p>
    <w:p w:rsidR="00C47CED" w:rsidRDefault="00C47CED" w:rsidP="001A349A">
      <w:pPr>
        <w:numPr>
          <w:ilvl w:val="0"/>
          <w:numId w:val="12"/>
        </w:numPr>
        <w:spacing w:after="240" w:line="360" w:lineRule="auto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Wśród wydanych rozstrzygnięć było 295 zgód na transakcje, cztery decyzje warunkowe i jeden zakaz koncentracji.</w:t>
      </w:r>
    </w:p>
    <w:p w:rsidR="00D2066D" w:rsidRDefault="004937F5" w:rsidP="004937F5">
      <w:pPr>
        <w:spacing w:after="240" w:line="360" w:lineRule="auto"/>
        <w:jc w:val="both"/>
        <w:rPr>
          <w:color w:val="000000"/>
          <w:sz w:val="22"/>
        </w:rPr>
      </w:pPr>
      <w:r>
        <w:rPr>
          <w:b/>
          <w:bCs/>
          <w:color w:val="000000"/>
          <w:sz w:val="22"/>
        </w:rPr>
        <w:t xml:space="preserve">[Warszawa, </w:t>
      </w:r>
      <w:r w:rsidR="00934349">
        <w:rPr>
          <w:b/>
          <w:bCs/>
          <w:color w:val="000000"/>
          <w:sz w:val="22"/>
        </w:rPr>
        <w:t>08</w:t>
      </w:r>
      <w:r>
        <w:rPr>
          <w:b/>
          <w:bCs/>
          <w:color w:val="000000"/>
          <w:sz w:val="22"/>
        </w:rPr>
        <w:t xml:space="preserve"> lutego 20</w:t>
      </w:r>
      <w:r w:rsidR="0013406F">
        <w:rPr>
          <w:b/>
          <w:bCs/>
          <w:color w:val="000000"/>
          <w:sz w:val="22"/>
        </w:rPr>
        <w:t>22</w:t>
      </w:r>
      <w:r>
        <w:rPr>
          <w:b/>
          <w:bCs/>
          <w:color w:val="000000"/>
          <w:sz w:val="22"/>
        </w:rPr>
        <w:t> r.]</w:t>
      </w:r>
      <w:r>
        <w:rPr>
          <w:color w:val="000000"/>
          <w:sz w:val="22"/>
        </w:rPr>
        <w:t xml:space="preserve"> </w:t>
      </w:r>
      <w:r w:rsidR="00D85C57">
        <w:rPr>
          <w:color w:val="000000"/>
          <w:sz w:val="22"/>
        </w:rPr>
        <w:t xml:space="preserve">Celem kontroli koncentracji prowadzonej przez Prezesa UOKiK jest zapobieganie fuzjom i </w:t>
      </w:r>
      <w:r w:rsidR="00D2066D">
        <w:rPr>
          <w:color w:val="000000"/>
          <w:sz w:val="22"/>
        </w:rPr>
        <w:t>przejęciom</w:t>
      </w:r>
      <w:r w:rsidR="00CA7186">
        <w:rPr>
          <w:color w:val="000000"/>
          <w:sz w:val="22"/>
        </w:rPr>
        <w:t>, które doprowadzą</w:t>
      </w:r>
      <w:r w:rsidR="00D85C57">
        <w:rPr>
          <w:color w:val="000000"/>
          <w:sz w:val="22"/>
        </w:rPr>
        <w:t xml:space="preserve"> do ogranic</w:t>
      </w:r>
      <w:r w:rsidR="0045651D">
        <w:rPr>
          <w:color w:val="000000"/>
          <w:sz w:val="22"/>
        </w:rPr>
        <w:t>zenia konkurencji</w:t>
      </w:r>
      <w:r w:rsidR="006E34CB">
        <w:rPr>
          <w:color w:val="000000"/>
          <w:sz w:val="22"/>
        </w:rPr>
        <w:t>.</w:t>
      </w:r>
      <w:r w:rsidR="0045651D">
        <w:rPr>
          <w:color w:val="000000"/>
          <w:sz w:val="22"/>
        </w:rPr>
        <w:t xml:space="preserve"> </w:t>
      </w:r>
      <w:r w:rsidR="009D1F57">
        <w:rPr>
          <w:sz w:val="22"/>
        </w:rPr>
        <w:t xml:space="preserve">Zgodnie z przepisami, zamiar przeprowadzenia transakcji podlega zgłoszeniu do UOKiK jeżeli biorą w niej udział przedsiębiorcy, których </w:t>
      </w:r>
      <w:r w:rsidR="009D1F57">
        <w:rPr>
          <w:color w:val="000000"/>
          <w:sz w:val="22"/>
        </w:rPr>
        <w:t xml:space="preserve">łączny obrót w roku poprzedzającym zgłoszenie przekroczył równowartość 1 mld euro na świecie lub 50 mln euro w Polsce. </w:t>
      </w:r>
    </w:p>
    <w:p w:rsidR="00D2066D" w:rsidRDefault="00D2066D" w:rsidP="004937F5">
      <w:pPr>
        <w:spacing w:after="24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</w:t>
      </w:r>
      <w:r w:rsidR="00CA7186" w:rsidRPr="00400CE1">
        <w:rPr>
          <w:i/>
          <w:color w:val="000000"/>
          <w:sz w:val="22"/>
        </w:rPr>
        <w:t>Pomimo trwającej pandemii u</w:t>
      </w:r>
      <w:r w:rsidRPr="00400CE1">
        <w:rPr>
          <w:i/>
          <w:color w:val="000000"/>
          <w:sz w:val="22"/>
        </w:rPr>
        <w:t xml:space="preserve">biegły rok </w:t>
      </w:r>
      <w:r w:rsidR="00CA7186" w:rsidRPr="00400CE1">
        <w:rPr>
          <w:i/>
          <w:color w:val="000000"/>
          <w:sz w:val="22"/>
        </w:rPr>
        <w:t>upłynął pod znakiem fuzji i przejęć.</w:t>
      </w:r>
      <w:r w:rsidR="0045651D" w:rsidRPr="00400CE1">
        <w:rPr>
          <w:i/>
          <w:color w:val="000000"/>
          <w:sz w:val="22"/>
        </w:rPr>
        <w:t xml:space="preserve"> </w:t>
      </w:r>
      <w:r w:rsidR="00A04657" w:rsidRPr="00400CE1">
        <w:rPr>
          <w:i/>
          <w:color w:val="000000"/>
          <w:sz w:val="22"/>
        </w:rPr>
        <w:t>Łącznie prowadziliśmy 3</w:t>
      </w:r>
      <w:r w:rsidR="001A349A">
        <w:rPr>
          <w:i/>
          <w:color w:val="000000"/>
          <w:sz w:val="22"/>
        </w:rPr>
        <w:t>76 postę</w:t>
      </w:r>
      <w:r w:rsidR="00400CE1" w:rsidRPr="00400CE1">
        <w:rPr>
          <w:i/>
          <w:color w:val="000000"/>
          <w:sz w:val="22"/>
        </w:rPr>
        <w:t>powań, z czego</w:t>
      </w:r>
      <w:r w:rsidR="00A75FFC">
        <w:rPr>
          <w:i/>
          <w:color w:val="000000"/>
          <w:sz w:val="22"/>
        </w:rPr>
        <w:t xml:space="preserve"> </w:t>
      </w:r>
      <w:r w:rsidR="00A75FFC" w:rsidRPr="00400CE1">
        <w:rPr>
          <w:i/>
          <w:color w:val="000000"/>
          <w:sz w:val="22"/>
        </w:rPr>
        <w:t xml:space="preserve"> 329</w:t>
      </w:r>
      <w:r w:rsidR="00400CE1" w:rsidRPr="00400CE1">
        <w:rPr>
          <w:i/>
          <w:color w:val="000000"/>
          <w:sz w:val="22"/>
        </w:rPr>
        <w:t xml:space="preserve"> </w:t>
      </w:r>
      <w:r w:rsidR="00D36FD9">
        <w:rPr>
          <w:i/>
          <w:color w:val="000000"/>
          <w:sz w:val="22"/>
        </w:rPr>
        <w:t>wszczęto</w:t>
      </w:r>
      <w:r w:rsidR="00A75FFC">
        <w:rPr>
          <w:i/>
          <w:color w:val="000000"/>
          <w:sz w:val="22"/>
        </w:rPr>
        <w:t xml:space="preserve"> </w:t>
      </w:r>
      <w:r w:rsidR="001A349A">
        <w:rPr>
          <w:i/>
          <w:color w:val="000000"/>
          <w:sz w:val="22"/>
        </w:rPr>
        <w:t>w 2021 r</w:t>
      </w:r>
      <w:r w:rsidR="00400CE1" w:rsidRPr="00400CE1">
        <w:rPr>
          <w:i/>
          <w:color w:val="000000"/>
          <w:sz w:val="22"/>
        </w:rPr>
        <w:t xml:space="preserve">. </w:t>
      </w:r>
      <w:r w:rsidR="00D36FD9">
        <w:rPr>
          <w:i/>
          <w:color w:val="000000"/>
          <w:sz w:val="22"/>
        </w:rPr>
        <w:t>Wydanych zostało</w:t>
      </w:r>
      <w:r w:rsidR="00B07951">
        <w:rPr>
          <w:i/>
          <w:color w:val="000000"/>
          <w:sz w:val="22"/>
        </w:rPr>
        <w:t xml:space="preserve"> 300 decyzji, </w:t>
      </w:r>
      <w:r w:rsidR="00400CE1" w:rsidRPr="00400CE1">
        <w:rPr>
          <w:i/>
          <w:color w:val="000000"/>
          <w:sz w:val="22"/>
        </w:rPr>
        <w:t xml:space="preserve">w tym </w:t>
      </w:r>
      <w:r w:rsidR="0045651D" w:rsidRPr="00400CE1">
        <w:rPr>
          <w:i/>
          <w:color w:val="000000"/>
          <w:sz w:val="22"/>
        </w:rPr>
        <w:t xml:space="preserve"> 295 to zgody na koncentrację, 4 decyzje warunkowe oraz jeden zakaz</w:t>
      </w:r>
      <w:r w:rsidR="0076482C" w:rsidRPr="00400CE1">
        <w:rPr>
          <w:i/>
          <w:color w:val="000000"/>
          <w:sz w:val="22"/>
        </w:rPr>
        <w:t>. Rozpatrywane sprawy najczęściej dotyczyły branży nieruc</w:t>
      </w:r>
      <w:r w:rsidR="00400CE1" w:rsidRPr="00400CE1">
        <w:rPr>
          <w:i/>
          <w:color w:val="000000"/>
          <w:sz w:val="22"/>
        </w:rPr>
        <w:t>homości, handlu oraz energetyki</w:t>
      </w:r>
      <w:r w:rsidR="00400CE1">
        <w:rPr>
          <w:color w:val="000000"/>
          <w:sz w:val="22"/>
        </w:rPr>
        <w:t xml:space="preserve"> </w:t>
      </w:r>
      <w:r w:rsidR="00CE5D37">
        <w:rPr>
          <w:color w:val="000000"/>
          <w:sz w:val="22"/>
        </w:rPr>
        <w:t>– mów</w:t>
      </w:r>
      <w:r w:rsidR="00400CE1">
        <w:rPr>
          <w:color w:val="000000"/>
          <w:sz w:val="22"/>
        </w:rPr>
        <w:t>i</w:t>
      </w:r>
      <w:r w:rsidR="00B07951">
        <w:rPr>
          <w:color w:val="000000"/>
          <w:sz w:val="22"/>
        </w:rPr>
        <w:t xml:space="preserve"> Prezes UOKiK Tomasz Chrós</w:t>
      </w:r>
      <w:r w:rsidR="00CE5D37">
        <w:rPr>
          <w:color w:val="000000"/>
          <w:sz w:val="22"/>
        </w:rPr>
        <w:t>tny.</w:t>
      </w:r>
    </w:p>
    <w:p w:rsidR="00CE5D37" w:rsidRDefault="00CE5D37" w:rsidP="004937F5">
      <w:pPr>
        <w:spacing w:after="24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Cztery decyzje</w:t>
      </w:r>
      <w:r w:rsidR="00B07951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w których zgoda została uzależniona od spełnienia przez przejmującego określonych warunków</w:t>
      </w:r>
      <w:r w:rsidR="00D36FD9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to </w:t>
      </w:r>
      <w:r w:rsidR="006E34CB">
        <w:rPr>
          <w:color w:val="000000"/>
          <w:sz w:val="22"/>
        </w:rPr>
        <w:t>koncentracje</w:t>
      </w:r>
      <w:r>
        <w:rPr>
          <w:color w:val="000000"/>
          <w:sz w:val="22"/>
        </w:rPr>
        <w:t xml:space="preserve">: </w:t>
      </w:r>
      <w:hyperlink r:id="rId9" w:history="1">
        <w:r w:rsidRPr="00CE5D37">
          <w:rPr>
            <w:rStyle w:val="Hipercze"/>
            <w:sz w:val="22"/>
          </w:rPr>
          <w:t>Lux-Med</w:t>
        </w:r>
        <w:r w:rsidR="00F01A3E">
          <w:rPr>
            <w:rStyle w:val="Hipercze"/>
            <w:sz w:val="22"/>
          </w:rPr>
          <w:t xml:space="preserve"> – </w:t>
        </w:r>
        <w:r w:rsidRPr="00CE5D37">
          <w:rPr>
            <w:rStyle w:val="Hipercze"/>
            <w:sz w:val="22"/>
          </w:rPr>
          <w:t>Lecznice Citomed</w:t>
        </w:r>
      </w:hyperlink>
      <w:r w:rsidR="0092230A">
        <w:rPr>
          <w:color w:val="000000"/>
          <w:sz w:val="22"/>
        </w:rPr>
        <w:t xml:space="preserve">, </w:t>
      </w:r>
      <w:hyperlink r:id="rId10" w:history="1">
        <w:r w:rsidR="00643AF6" w:rsidRPr="008477FB">
          <w:rPr>
            <w:rStyle w:val="Hipercze"/>
            <w:sz w:val="22"/>
          </w:rPr>
          <w:t>Carrefour Pols</w:t>
        </w:r>
        <w:r w:rsidR="00F01A3E">
          <w:rPr>
            <w:rStyle w:val="Hipercze"/>
            <w:sz w:val="22"/>
          </w:rPr>
          <w:t>ka –</w:t>
        </w:r>
        <w:r w:rsidR="00643AF6" w:rsidRPr="008477FB">
          <w:rPr>
            <w:rStyle w:val="Hipercze"/>
            <w:sz w:val="22"/>
          </w:rPr>
          <w:t xml:space="preserve"> Ingka Centres Polska</w:t>
        </w:r>
      </w:hyperlink>
      <w:r w:rsidR="00F01A3E">
        <w:rPr>
          <w:color w:val="000000"/>
          <w:sz w:val="22"/>
        </w:rPr>
        <w:t xml:space="preserve">, </w:t>
      </w:r>
      <w:hyperlink r:id="rId11" w:history="1">
        <w:r w:rsidR="00F01A3E" w:rsidRPr="00462E74">
          <w:rPr>
            <w:rStyle w:val="Hipercze"/>
            <w:sz w:val="22"/>
          </w:rPr>
          <w:t>DOZ – Euro-Apteka, Super Zdrowie i MLV18</w:t>
        </w:r>
      </w:hyperlink>
      <w:r w:rsidR="00462E74">
        <w:rPr>
          <w:color w:val="000000"/>
          <w:sz w:val="22"/>
        </w:rPr>
        <w:t xml:space="preserve"> oraz </w:t>
      </w:r>
      <w:hyperlink r:id="rId12" w:history="1">
        <w:r w:rsidR="00462E74" w:rsidRPr="005606CB">
          <w:rPr>
            <w:rStyle w:val="Hipercze"/>
            <w:sz w:val="22"/>
          </w:rPr>
          <w:t>Betamed – Air Liquide</w:t>
        </w:r>
      </w:hyperlink>
      <w:r w:rsidR="005606CB">
        <w:rPr>
          <w:color w:val="000000"/>
          <w:sz w:val="22"/>
        </w:rPr>
        <w:t xml:space="preserve">. Zakaz dotyczył </w:t>
      </w:r>
      <w:r w:rsidR="006E34CB">
        <w:rPr>
          <w:color w:val="000000"/>
          <w:sz w:val="22"/>
        </w:rPr>
        <w:t>przejęcia</w:t>
      </w:r>
      <w:r w:rsidR="005606CB">
        <w:rPr>
          <w:color w:val="000000"/>
          <w:sz w:val="22"/>
        </w:rPr>
        <w:t xml:space="preserve"> przez </w:t>
      </w:r>
      <w:hyperlink r:id="rId13" w:history="1">
        <w:r w:rsidR="005606CB" w:rsidRPr="00EA5616">
          <w:rPr>
            <w:rStyle w:val="Hipercze"/>
            <w:sz w:val="22"/>
          </w:rPr>
          <w:t>Agorę kontroli na Eurozet</w:t>
        </w:r>
      </w:hyperlink>
      <w:r w:rsidR="005606CB">
        <w:rPr>
          <w:color w:val="000000"/>
          <w:sz w:val="22"/>
        </w:rPr>
        <w:t>.</w:t>
      </w:r>
    </w:p>
    <w:p w:rsidR="0076482C" w:rsidRDefault="0076482C" w:rsidP="0076482C">
      <w:pPr>
        <w:spacing w:after="240" w:line="360" w:lineRule="auto"/>
        <w:jc w:val="both"/>
        <w:rPr>
          <w:rFonts w:cs="Tahoma"/>
          <w:color w:val="000000"/>
          <w:sz w:val="22"/>
          <w:shd w:val="clear" w:color="auto" w:fill="FFFFFF"/>
        </w:rPr>
      </w:pPr>
      <w:r>
        <w:rPr>
          <w:rFonts w:cs="Tahoma"/>
          <w:color w:val="000000"/>
          <w:sz w:val="22"/>
          <w:shd w:val="clear" w:color="auto" w:fill="FFFFFF"/>
        </w:rPr>
        <w:t>Postępowanie w sprawie koncentracji jest dwuetapowe. W pierwszym – które trwa do 30 dni - rozpatrywane są sprawy, które nie budzą wątpliwości co do negatywnego wpływu na konkurencję. Bardziej skomplikowane, np. wymagające badania rynku, </w:t>
      </w:r>
      <w:hyperlink r:id="rId14" w:anchor="faq2404" w:history="1">
        <w:r>
          <w:rPr>
            <w:rStyle w:val="Hipercze"/>
            <w:rFonts w:cs="Tahoma"/>
            <w:color w:val="000000"/>
            <w:sz w:val="22"/>
            <w:shd w:val="clear" w:color="auto" w:fill="FFFFFF"/>
          </w:rPr>
          <w:t>przechodzą do drugiej fazy</w:t>
        </w:r>
      </w:hyperlink>
      <w:r>
        <w:rPr>
          <w:rFonts w:cs="Tahoma"/>
          <w:color w:val="000000"/>
          <w:sz w:val="22"/>
          <w:shd w:val="clear" w:color="auto" w:fill="FFFFFF"/>
        </w:rPr>
        <w:t>.</w:t>
      </w:r>
      <w:r w:rsidR="00A04657">
        <w:rPr>
          <w:rFonts w:cs="Tahoma"/>
          <w:color w:val="000000"/>
          <w:sz w:val="22"/>
          <w:shd w:val="clear" w:color="auto" w:fill="FFFFFF"/>
        </w:rPr>
        <w:t xml:space="preserve"> </w:t>
      </w:r>
      <w:r w:rsidR="00DF0700">
        <w:rPr>
          <w:rFonts w:cs="Tahoma"/>
          <w:color w:val="000000"/>
          <w:sz w:val="22"/>
          <w:shd w:val="clear" w:color="auto" w:fill="FFFFFF"/>
        </w:rPr>
        <w:t xml:space="preserve"> </w:t>
      </w:r>
      <w:r w:rsidR="00A04657">
        <w:rPr>
          <w:rFonts w:cs="Tahoma"/>
          <w:color w:val="000000"/>
          <w:sz w:val="22"/>
          <w:shd w:val="clear" w:color="auto" w:fill="FFFFFF"/>
        </w:rPr>
        <w:t>Zdecydowana większość  - 287 decyzji -  została wydana po pierwszym etapie. Jedynie do wyd</w:t>
      </w:r>
      <w:r w:rsidR="00737F20">
        <w:rPr>
          <w:rFonts w:cs="Tahoma"/>
          <w:color w:val="000000"/>
          <w:sz w:val="22"/>
          <w:shd w:val="clear" w:color="auto" w:fill="FFFFFF"/>
        </w:rPr>
        <w:t>ania 13 rozstrzygnięć konieczna była druga faza</w:t>
      </w:r>
      <w:r w:rsidR="00A04657">
        <w:rPr>
          <w:rFonts w:cs="Tahoma"/>
          <w:color w:val="000000"/>
          <w:sz w:val="22"/>
          <w:shd w:val="clear" w:color="auto" w:fill="FFFFFF"/>
        </w:rPr>
        <w:t xml:space="preserve"> postępowania. </w:t>
      </w:r>
    </w:p>
    <w:p w:rsidR="009514E2" w:rsidRPr="009514E2" w:rsidRDefault="009514E2" w:rsidP="009514E2">
      <w:pPr>
        <w:spacing w:after="240" w:line="360" w:lineRule="auto"/>
        <w:jc w:val="both"/>
        <w:rPr>
          <w:rFonts w:cs="Tahoma"/>
          <w:color w:val="000000"/>
          <w:sz w:val="22"/>
          <w:shd w:val="clear" w:color="auto" w:fill="FFFFFF"/>
        </w:rPr>
      </w:pPr>
      <w:r>
        <w:rPr>
          <w:rFonts w:cs="Tahoma"/>
          <w:color w:val="000000"/>
          <w:sz w:val="22"/>
          <w:shd w:val="clear" w:color="auto" w:fill="FFFFFF"/>
        </w:rPr>
        <w:lastRenderedPageBreak/>
        <w:t xml:space="preserve">Ponadto Urząd opiniował 380 postępowań prowadzonych przez Komisję Europejską </w:t>
      </w:r>
      <w:r w:rsidRPr="009514E2">
        <w:rPr>
          <w:rFonts w:cs="Tahoma"/>
          <w:color w:val="000000"/>
          <w:sz w:val="22"/>
          <w:shd w:val="clear" w:color="auto" w:fill="FFFFFF"/>
        </w:rPr>
        <w:t>pod kątem w</w:t>
      </w:r>
      <w:r>
        <w:rPr>
          <w:rFonts w:cs="Tahoma"/>
          <w:color w:val="000000"/>
          <w:sz w:val="22"/>
          <w:shd w:val="clear" w:color="auto" w:fill="FFFFFF"/>
        </w:rPr>
        <w:t xml:space="preserve">pływu koncentracji </w:t>
      </w:r>
      <w:r w:rsidRPr="009514E2">
        <w:rPr>
          <w:rFonts w:cs="Tahoma"/>
          <w:color w:val="000000"/>
          <w:sz w:val="22"/>
          <w:shd w:val="clear" w:color="auto" w:fill="FFFFFF"/>
        </w:rPr>
        <w:t>na polski rynek</w:t>
      </w:r>
    </w:p>
    <w:p w:rsidR="00DF0700" w:rsidRPr="00DF0700" w:rsidRDefault="00DF0700" w:rsidP="0076482C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DF0700">
        <w:rPr>
          <w:rFonts w:cs="Tahoma"/>
          <w:color w:val="000000" w:themeColor="text1"/>
          <w:sz w:val="22"/>
          <w:shd w:val="clear" w:color="auto" w:fill="FFFFFF"/>
        </w:rPr>
        <w:t>Przypominamy, że </w:t>
      </w:r>
      <w:hyperlink r:id="rId15" w:history="1">
        <w:r w:rsidRPr="00DF0700">
          <w:rPr>
            <w:rStyle w:val="Hipercze"/>
            <w:rFonts w:cs="Tahoma"/>
            <w:color w:val="000000" w:themeColor="text1"/>
            <w:sz w:val="22"/>
            <w:shd w:val="clear" w:color="auto" w:fill="FFFFFF"/>
          </w:rPr>
          <w:t>na stronie internetowej urzędu </w:t>
        </w:r>
      </w:hyperlink>
      <w:r w:rsidRPr="00DF0700">
        <w:rPr>
          <w:rFonts w:cs="Tahoma"/>
          <w:color w:val="000000" w:themeColor="text1"/>
          <w:sz w:val="22"/>
          <w:shd w:val="clear" w:color="auto" w:fill="FFFFFF"/>
        </w:rPr>
        <w:t>zamieszczane są informacje na temat wszystkich prowadzonych przez Prezesa Urzędu postępowań antymonopolowych w sprawach koncentracji</w:t>
      </w:r>
      <w:r w:rsidR="00C47CED">
        <w:rPr>
          <w:rFonts w:cs="Tahoma"/>
          <w:color w:val="000000" w:themeColor="text1"/>
          <w:sz w:val="22"/>
          <w:shd w:val="clear" w:color="auto" w:fill="FFFFFF"/>
        </w:rPr>
        <w:t xml:space="preserve">, a także wydanych decyzjach w tym zakresie. </w:t>
      </w:r>
    </w:p>
    <w:p w:rsidR="009453BD" w:rsidRPr="006E34CB" w:rsidRDefault="009453BD" w:rsidP="0076482C">
      <w:pPr>
        <w:spacing w:after="240" w:line="360" w:lineRule="auto"/>
        <w:jc w:val="both"/>
        <w:rPr>
          <w:rFonts w:ascii="Tahoma" w:hAnsi="Tahoma" w:cs="Tahoma"/>
          <w:b/>
          <w:color w:val="3C4147"/>
          <w:szCs w:val="18"/>
          <w:shd w:val="clear" w:color="auto" w:fill="FFFFFF"/>
        </w:rPr>
      </w:pPr>
      <w:r w:rsidRPr="006E34CB">
        <w:rPr>
          <w:rFonts w:cs="Tahoma"/>
          <w:b/>
          <w:color w:val="000000"/>
          <w:sz w:val="22"/>
          <w:shd w:val="clear" w:color="auto" w:fill="FFFFFF"/>
        </w:rPr>
        <w:t>Kontrola inwestycji</w:t>
      </w:r>
      <w:r w:rsidRPr="006E34CB">
        <w:rPr>
          <w:rFonts w:ascii="Tahoma" w:hAnsi="Tahoma" w:cs="Tahoma"/>
          <w:b/>
          <w:color w:val="3C4147"/>
          <w:szCs w:val="18"/>
          <w:shd w:val="clear" w:color="auto" w:fill="FFFFFF"/>
        </w:rPr>
        <w:t xml:space="preserve"> </w:t>
      </w:r>
    </w:p>
    <w:p w:rsidR="00C72F0F" w:rsidRPr="009D1F57" w:rsidRDefault="009453BD" w:rsidP="0076482C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9D1F57">
        <w:rPr>
          <w:rFonts w:cs="Tahoma"/>
          <w:color w:val="000000" w:themeColor="text1"/>
          <w:sz w:val="22"/>
          <w:shd w:val="clear" w:color="auto" w:fill="FFFFFF"/>
        </w:rPr>
        <w:t>Prawo dotyczące kontroli inwestycji weszło w życie w 2020 r. jako część rządowej </w:t>
      </w:r>
      <w:hyperlink r:id="rId16" w:history="1">
        <w:r w:rsidRPr="009D1F57">
          <w:rPr>
            <w:rStyle w:val="Hipercze"/>
            <w:rFonts w:cs="Tahoma"/>
            <w:color w:val="000000" w:themeColor="text1"/>
            <w:sz w:val="22"/>
            <w:shd w:val="clear" w:color="auto" w:fill="FFFFFF"/>
          </w:rPr>
          <w:t>Tarczy Antykryzysowej 4.0</w:t>
        </w:r>
      </w:hyperlink>
      <w:r w:rsidRPr="009D1F57">
        <w:rPr>
          <w:rFonts w:cs="Tahoma"/>
          <w:color w:val="000000" w:themeColor="text1"/>
          <w:sz w:val="22"/>
          <w:shd w:val="clear" w:color="auto" w:fill="FFFFFF"/>
        </w:rPr>
        <w:t xml:space="preserve">. </w:t>
      </w:r>
      <w:r w:rsidR="00FC73C8">
        <w:rPr>
          <w:rFonts w:cs="Tahoma"/>
          <w:color w:val="000000" w:themeColor="text1"/>
          <w:sz w:val="22"/>
          <w:shd w:val="clear" w:color="auto" w:fill="FFFFFF"/>
        </w:rPr>
        <w:t xml:space="preserve">Od tego czasu Prezes UOKiK ma możliwość zablokowania </w:t>
      </w:r>
      <w:r w:rsidRPr="009D1F57">
        <w:rPr>
          <w:rFonts w:cs="Tahoma"/>
          <w:color w:val="000000" w:themeColor="text1"/>
          <w:sz w:val="22"/>
          <w:shd w:val="clear" w:color="auto" w:fill="FFFFFF"/>
        </w:rPr>
        <w:t xml:space="preserve">przejęcia polskich spółek ważnych dla porządku, bezpieczeństwa lub zdrowia publicznego przez podmioty spoza UE, EOG i OECD. </w:t>
      </w:r>
    </w:p>
    <w:p w:rsidR="00C72F0F" w:rsidRPr="009D1F57" w:rsidRDefault="003138DA" w:rsidP="0076482C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9D1F57">
        <w:rPr>
          <w:rFonts w:cs="Tahoma"/>
          <w:color w:val="000000" w:themeColor="text1"/>
          <w:sz w:val="22"/>
          <w:shd w:val="clear" w:color="auto" w:fill="FFFFFF"/>
        </w:rPr>
        <w:t>Postępowanie w sprawie kontroli inwestycji</w:t>
      </w:r>
      <w:r w:rsidR="00FC73C8">
        <w:rPr>
          <w:rFonts w:cs="Tahoma"/>
          <w:color w:val="000000" w:themeColor="text1"/>
          <w:sz w:val="22"/>
          <w:shd w:val="clear" w:color="auto" w:fill="FFFFFF"/>
        </w:rPr>
        <w:t>, podobnie jak w sprawach dotyczących koncentracji,</w:t>
      </w:r>
      <w:r w:rsidRPr="009D1F57">
        <w:rPr>
          <w:rFonts w:cs="Tahoma"/>
          <w:color w:val="000000" w:themeColor="text1"/>
          <w:sz w:val="22"/>
          <w:shd w:val="clear" w:color="auto" w:fill="FFFFFF"/>
        </w:rPr>
        <w:t xml:space="preserve"> jest podzielone na dwie fazy. Pierwszym etapem jest wstępne postępowanie sprawdzające, które służy rozdzieleniu spraw na proste i niewymagające dalszych czynności kontrolnych od bardziej skomplikowanych. W przypadku spraw zakończonych na tej fazie </w:t>
      </w:r>
      <w:r w:rsidR="00B07951">
        <w:rPr>
          <w:rFonts w:cs="Tahoma"/>
          <w:color w:val="000000" w:themeColor="text1"/>
          <w:sz w:val="22"/>
          <w:shd w:val="clear" w:color="auto" w:fill="FFFFFF"/>
        </w:rPr>
        <w:t>Prezes UOKiK wydaje</w:t>
      </w:r>
      <w:r w:rsidRPr="009D1F57">
        <w:rPr>
          <w:rFonts w:cs="Tahoma"/>
          <w:color w:val="000000" w:themeColor="text1"/>
          <w:sz w:val="22"/>
          <w:shd w:val="clear" w:color="auto" w:fill="FFFFFF"/>
        </w:rPr>
        <w:t xml:space="preserve"> decyzję</w:t>
      </w:r>
      <w:r w:rsidR="008379E5">
        <w:rPr>
          <w:rFonts w:cs="Tahoma"/>
          <w:color w:val="000000" w:themeColor="text1"/>
          <w:sz w:val="22"/>
          <w:shd w:val="clear" w:color="auto" w:fill="FFFFFF"/>
        </w:rPr>
        <w:t xml:space="preserve"> o odmowie wszczęcia postępowania kontrolnego i</w:t>
      </w:r>
      <w:r w:rsidRPr="009D1F57">
        <w:rPr>
          <w:rFonts w:cs="Tahoma"/>
          <w:color w:val="000000" w:themeColor="text1"/>
          <w:sz w:val="22"/>
          <w:shd w:val="clear" w:color="auto" w:fill="FFFFFF"/>
        </w:rPr>
        <w:t xml:space="preserve"> o braku sprzeciwu</w:t>
      </w:r>
      <w:r w:rsidR="00FC73C8">
        <w:rPr>
          <w:rFonts w:cs="Tahoma"/>
          <w:color w:val="000000" w:themeColor="text1"/>
          <w:sz w:val="22"/>
          <w:shd w:val="clear" w:color="auto" w:fill="FFFFFF"/>
        </w:rPr>
        <w:t xml:space="preserve"> do transakcji</w:t>
      </w:r>
      <w:r w:rsidRPr="009D1F57">
        <w:rPr>
          <w:rFonts w:cs="Tahoma"/>
          <w:color w:val="000000" w:themeColor="text1"/>
          <w:sz w:val="22"/>
          <w:shd w:val="clear" w:color="auto" w:fill="FFFFFF"/>
        </w:rPr>
        <w:t>. Do właściwego postępowania kontrolnego (faza druga) mogą być kierowane sprawy, które mogą powodować poważne zagrożenie dla porządku publicznego, bezpieczeństwa publicznego lub zdrowia publicznego.</w:t>
      </w:r>
    </w:p>
    <w:p w:rsidR="009D130E" w:rsidRDefault="009453BD" w:rsidP="00B07951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9D1F57">
        <w:rPr>
          <w:rFonts w:cs="Tahoma"/>
          <w:color w:val="000000" w:themeColor="text1"/>
          <w:sz w:val="22"/>
          <w:shd w:val="clear" w:color="auto" w:fill="FFFFFF"/>
        </w:rPr>
        <w:t xml:space="preserve">W ubiegłym roku </w:t>
      </w:r>
      <w:r w:rsidR="00B07951">
        <w:rPr>
          <w:rFonts w:cs="Tahoma"/>
          <w:color w:val="000000" w:themeColor="text1"/>
          <w:sz w:val="22"/>
          <w:shd w:val="clear" w:color="auto" w:fill="FFFFFF"/>
        </w:rPr>
        <w:t>Prezes UOKiK prowadził dziewięć</w:t>
      </w:r>
      <w:r w:rsidR="00A75FFC">
        <w:rPr>
          <w:rFonts w:cs="Tahoma"/>
          <w:color w:val="000000" w:themeColor="text1"/>
          <w:sz w:val="22"/>
          <w:shd w:val="clear" w:color="auto" w:fill="FFFFFF"/>
        </w:rPr>
        <w:t xml:space="preserve"> postę</w:t>
      </w:r>
      <w:r w:rsidRPr="009D1F57">
        <w:rPr>
          <w:rFonts w:cs="Tahoma"/>
          <w:color w:val="000000" w:themeColor="text1"/>
          <w:sz w:val="22"/>
          <w:shd w:val="clear" w:color="auto" w:fill="FFFFFF"/>
        </w:rPr>
        <w:t xml:space="preserve">powań, z czego </w:t>
      </w:r>
      <w:r w:rsidR="00B07951">
        <w:rPr>
          <w:rFonts w:cs="Tahoma"/>
          <w:color w:val="000000" w:themeColor="text1"/>
          <w:sz w:val="22"/>
          <w:shd w:val="clear" w:color="auto" w:fill="FFFFFF"/>
        </w:rPr>
        <w:t>osiem</w:t>
      </w:r>
      <w:r w:rsidR="001F3189">
        <w:rPr>
          <w:rFonts w:cs="Tahoma"/>
          <w:color w:val="000000" w:themeColor="text1"/>
          <w:sz w:val="22"/>
          <w:shd w:val="clear" w:color="auto" w:fill="FFFFFF"/>
        </w:rPr>
        <w:t xml:space="preserve"> wszczął w 2021</w:t>
      </w:r>
      <w:r w:rsidRPr="009D1F57">
        <w:rPr>
          <w:rFonts w:cs="Tahoma"/>
          <w:color w:val="000000" w:themeColor="text1"/>
          <w:sz w:val="22"/>
          <w:shd w:val="clear" w:color="auto" w:fill="FFFFFF"/>
        </w:rPr>
        <w:t xml:space="preserve"> r. Wydane zo</w:t>
      </w:r>
      <w:r w:rsidR="00231601" w:rsidRPr="009D1F57">
        <w:rPr>
          <w:rFonts w:cs="Tahoma"/>
          <w:color w:val="000000" w:themeColor="text1"/>
          <w:sz w:val="22"/>
          <w:shd w:val="clear" w:color="auto" w:fill="FFFFFF"/>
        </w:rPr>
        <w:t>stały trzy decy</w:t>
      </w:r>
      <w:r w:rsidR="003138DA" w:rsidRPr="009D1F57">
        <w:rPr>
          <w:rFonts w:cs="Tahoma"/>
          <w:color w:val="000000" w:themeColor="text1"/>
          <w:sz w:val="22"/>
          <w:shd w:val="clear" w:color="auto" w:fill="FFFFFF"/>
        </w:rPr>
        <w:t>zje,</w:t>
      </w:r>
      <w:r w:rsidR="00231601" w:rsidRPr="009D1F57">
        <w:rPr>
          <w:rFonts w:cs="Tahoma"/>
          <w:color w:val="000000" w:themeColor="text1"/>
          <w:sz w:val="22"/>
          <w:shd w:val="clear" w:color="auto" w:fill="FFFFFF"/>
        </w:rPr>
        <w:t xml:space="preserve"> w dwóch przyp</w:t>
      </w:r>
      <w:r w:rsidR="003138DA" w:rsidRPr="009D1F57">
        <w:rPr>
          <w:rFonts w:cs="Tahoma"/>
          <w:color w:val="000000" w:themeColor="text1"/>
          <w:sz w:val="22"/>
          <w:shd w:val="clear" w:color="auto" w:fill="FFFFFF"/>
        </w:rPr>
        <w:t>ad</w:t>
      </w:r>
      <w:r w:rsidR="00231601" w:rsidRPr="009D1F57">
        <w:rPr>
          <w:rFonts w:cs="Tahoma"/>
          <w:color w:val="000000" w:themeColor="text1"/>
          <w:sz w:val="22"/>
          <w:shd w:val="clear" w:color="auto" w:fill="FFFFFF"/>
        </w:rPr>
        <w:t xml:space="preserve">kach Prezes </w:t>
      </w:r>
      <w:r w:rsidR="001A349A" w:rsidRPr="009D1F57">
        <w:rPr>
          <w:rFonts w:cs="Tahoma"/>
          <w:color w:val="000000" w:themeColor="text1"/>
          <w:sz w:val="22"/>
          <w:shd w:val="clear" w:color="auto" w:fill="FFFFFF"/>
        </w:rPr>
        <w:t>Urzędu</w:t>
      </w:r>
      <w:r w:rsidR="00231601" w:rsidRPr="009D1F57">
        <w:rPr>
          <w:rFonts w:cs="Tahoma"/>
          <w:color w:val="000000" w:themeColor="text1"/>
          <w:sz w:val="22"/>
          <w:shd w:val="clear" w:color="auto" w:fill="FFFFFF"/>
        </w:rPr>
        <w:t xml:space="preserve"> nie zgłosił </w:t>
      </w:r>
      <w:r w:rsidRPr="009D1F57">
        <w:rPr>
          <w:rFonts w:cs="Tahoma"/>
          <w:color w:val="000000" w:themeColor="text1"/>
          <w:sz w:val="22"/>
          <w:shd w:val="clear" w:color="auto" w:fill="FFFFFF"/>
        </w:rPr>
        <w:t xml:space="preserve">sprzeciwu </w:t>
      </w:r>
      <w:r w:rsidR="00231601" w:rsidRPr="009D1F57">
        <w:rPr>
          <w:rFonts w:cs="Tahoma"/>
          <w:color w:val="000000" w:themeColor="text1"/>
          <w:sz w:val="22"/>
          <w:shd w:val="clear" w:color="auto" w:fill="FFFFFF"/>
        </w:rPr>
        <w:t>do transakcji i nie wszczy</w:t>
      </w:r>
      <w:r w:rsidR="00B07951">
        <w:rPr>
          <w:rFonts w:cs="Tahoma"/>
          <w:color w:val="000000" w:themeColor="text1"/>
          <w:sz w:val="22"/>
          <w:shd w:val="clear" w:color="auto" w:fill="FFFFFF"/>
        </w:rPr>
        <w:t>nał postępowania kontrolnego. J</w:t>
      </w:r>
      <w:r w:rsidR="001A349A">
        <w:rPr>
          <w:rFonts w:cs="Tahoma"/>
          <w:color w:val="000000" w:themeColor="text1"/>
          <w:sz w:val="22"/>
          <w:shd w:val="clear" w:color="auto" w:fill="FFFFFF"/>
        </w:rPr>
        <w:t>edna</w:t>
      </w:r>
      <w:r w:rsidR="00231601" w:rsidRPr="009D1F57">
        <w:rPr>
          <w:rFonts w:cs="Tahoma"/>
          <w:color w:val="000000" w:themeColor="text1"/>
          <w:sz w:val="22"/>
          <w:shd w:val="clear" w:color="auto" w:fill="FFFFFF"/>
        </w:rPr>
        <w:t xml:space="preserve"> decyzja dotyczyła umorzenia postępowania. </w:t>
      </w:r>
      <w:r w:rsidR="00282865">
        <w:rPr>
          <w:rFonts w:cs="Tahoma"/>
          <w:color w:val="000000" w:themeColor="text1"/>
          <w:sz w:val="22"/>
          <w:shd w:val="clear" w:color="auto" w:fill="FFFFFF"/>
        </w:rPr>
        <w:t>W pozostałych</w:t>
      </w:r>
      <w:r w:rsidR="00231601" w:rsidRPr="009D1F57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="00B07951">
        <w:rPr>
          <w:rFonts w:cs="Tahoma"/>
          <w:color w:val="000000" w:themeColor="text1"/>
          <w:sz w:val="22"/>
          <w:shd w:val="clear" w:color="auto" w:fill="FFFFFF"/>
        </w:rPr>
        <w:t>sprawach</w:t>
      </w:r>
      <w:r w:rsidR="00231601" w:rsidRPr="009D1F57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="00C72F0F" w:rsidRPr="009D1F57">
        <w:rPr>
          <w:rFonts w:cs="Tahoma"/>
          <w:color w:val="000000" w:themeColor="text1"/>
          <w:sz w:val="22"/>
          <w:shd w:val="clear" w:color="auto" w:fill="FFFFFF"/>
        </w:rPr>
        <w:t xml:space="preserve">wydane zostały </w:t>
      </w:r>
      <w:r w:rsidR="001A349A">
        <w:rPr>
          <w:rFonts w:cs="Tahoma"/>
          <w:color w:val="000000" w:themeColor="text1"/>
          <w:sz w:val="22"/>
          <w:shd w:val="clear" w:color="auto" w:fill="FFFFFF"/>
        </w:rPr>
        <w:t>p</w:t>
      </w:r>
      <w:r w:rsidR="00C72F0F" w:rsidRPr="009D1F57">
        <w:rPr>
          <w:rFonts w:cs="Tahoma"/>
          <w:color w:val="000000" w:themeColor="text1"/>
          <w:sz w:val="22"/>
          <w:shd w:val="clear" w:color="auto" w:fill="FFFFFF"/>
        </w:rPr>
        <w:t xml:space="preserve">ostanowienia o odmowie wszczęcia wstępnego postępowania sprawdzającego, ponieważ </w:t>
      </w:r>
      <w:r w:rsidR="001A349A" w:rsidRPr="009D1F57">
        <w:rPr>
          <w:rFonts w:cs="Tahoma"/>
          <w:color w:val="000000" w:themeColor="text1"/>
          <w:sz w:val="22"/>
          <w:shd w:val="clear" w:color="auto" w:fill="FFFFFF"/>
        </w:rPr>
        <w:t>transakcje</w:t>
      </w:r>
      <w:r w:rsidR="001A349A">
        <w:rPr>
          <w:rFonts w:cs="Tahoma"/>
          <w:color w:val="000000" w:themeColor="text1"/>
          <w:sz w:val="22"/>
          <w:shd w:val="clear" w:color="auto" w:fill="FFFFFF"/>
        </w:rPr>
        <w:t xml:space="preserve"> nie podlegały zgłoszeniu do UOKiK.</w:t>
      </w:r>
    </w:p>
    <w:p w:rsidR="00FC73C8" w:rsidRPr="00EA54E5" w:rsidRDefault="00EA54E5" w:rsidP="00B07951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EA54E5">
        <w:rPr>
          <w:rFonts w:cs="Tahoma"/>
          <w:color w:val="000000" w:themeColor="text1"/>
          <w:sz w:val="22"/>
          <w:shd w:val="clear" w:color="auto" w:fill="FFFFFF"/>
        </w:rPr>
        <w:t xml:space="preserve">Szczegóły dotyczące </w:t>
      </w:r>
      <w:r w:rsidR="00FC73C8" w:rsidRPr="00EA54E5">
        <w:rPr>
          <w:rFonts w:cs="Tahoma"/>
          <w:color w:val="000000" w:themeColor="text1"/>
          <w:sz w:val="22"/>
          <w:shd w:val="clear" w:color="auto" w:fill="FFFFFF"/>
        </w:rPr>
        <w:t xml:space="preserve">przepisów </w:t>
      </w:r>
      <w:r w:rsidRPr="00EA54E5">
        <w:rPr>
          <w:rFonts w:cs="Tahoma"/>
          <w:color w:val="000000" w:themeColor="text1"/>
          <w:sz w:val="22"/>
          <w:shd w:val="clear" w:color="auto" w:fill="FFFFFF"/>
        </w:rPr>
        <w:t>z zakresu</w:t>
      </w:r>
      <w:r>
        <w:rPr>
          <w:rFonts w:cs="Tahoma"/>
          <w:color w:val="000000" w:themeColor="text1"/>
          <w:sz w:val="22"/>
          <w:shd w:val="clear" w:color="auto" w:fill="FFFFFF"/>
        </w:rPr>
        <w:t xml:space="preserve"> kontroli</w:t>
      </w:r>
      <w:r w:rsidRPr="00EA54E5">
        <w:rPr>
          <w:rFonts w:cs="Tahoma"/>
          <w:color w:val="000000" w:themeColor="text1"/>
          <w:sz w:val="22"/>
          <w:shd w:val="clear" w:color="auto" w:fill="FFFFFF"/>
        </w:rPr>
        <w:t xml:space="preserve"> inwestycj</w:t>
      </w:r>
      <w:r w:rsidR="00FC73C8" w:rsidRPr="00EA54E5">
        <w:rPr>
          <w:rFonts w:cs="Tahoma"/>
          <w:color w:val="000000" w:themeColor="text1"/>
          <w:sz w:val="22"/>
          <w:shd w:val="clear" w:color="auto" w:fill="FFFFFF"/>
        </w:rPr>
        <w:t>i można znaleźć w </w:t>
      </w:r>
      <w:hyperlink r:id="rId17" w:history="1">
        <w:r w:rsidR="00FC73C8" w:rsidRPr="00EA54E5">
          <w:rPr>
            <w:rStyle w:val="Hipercze"/>
            <w:rFonts w:cs="Tahoma"/>
            <w:color w:val="000000" w:themeColor="text1"/>
            <w:sz w:val="22"/>
            <w:shd w:val="clear" w:color="auto" w:fill="FFFFFF"/>
          </w:rPr>
          <w:t>opublikowanych wyjaśnieniach.</w:t>
        </w:r>
      </w:hyperlink>
    </w:p>
    <w:p w:rsidR="00FF77E1" w:rsidRPr="00A8205C" w:rsidRDefault="00FF77E1" w:rsidP="004A31A7">
      <w:pPr>
        <w:spacing w:before="240" w:line="360" w:lineRule="auto"/>
        <w:rPr>
          <w:sz w:val="22"/>
        </w:rPr>
      </w:pPr>
    </w:p>
    <w:sectPr w:rsidR="00FF77E1" w:rsidRPr="00A8205C" w:rsidSect="00240013">
      <w:headerReference w:type="default" r:id="rId18"/>
      <w:footerReference w:type="default" r:id="rId19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00" w:rsidRDefault="00CE7200">
      <w:r>
        <w:separator/>
      </w:r>
    </w:p>
  </w:endnote>
  <w:endnote w:type="continuationSeparator" w:id="0">
    <w:p w:rsidR="00CE7200" w:rsidRDefault="00CE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5CA67B" wp14:editId="086B63E0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2648657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00" w:rsidRDefault="00CE7200">
      <w:r>
        <w:separator/>
      </w:r>
    </w:p>
  </w:footnote>
  <w:footnote w:type="continuationSeparator" w:id="0">
    <w:p w:rsidR="00CE7200" w:rsidRDefault="00CE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51218A1" wp14:editId="3247CBA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EAC"/>
    <w:multiLevelType w:val="hybridMultilevel"/>
    <w:tmpl w:val="906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568F"/>
    <w:multiLevelType w:val="hybridMultilevel"/>
    <w:tmpl w:val="A768D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3D1B"/>
    <w:multiLevelType w:val="hybridMultilevel"/>
    <w:tmpl w:val="D380569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629BD"/>
    <w:multiLevelType w:val="hybridMultilevel"/>
    <w:tmpl w:val="ED6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567B7"/>
    <w:multiLevelType w:val="hybridMultilevel"/>
    <w:tmpl w:val="2D7C5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4639E"/>
    <w:multiLevelType w:val="hybridMultilevel"/>
    <w:tmpl w:val="C04E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1772E"/>
    <w:multiLevelType w:val="hybridMultilevel"/>
    <w:tmpl w:val="4D88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5A30"/>
    <w:rsid w:val="0002027D"/>
    <w:rsid w:val="0002108F"/>
    <w:rsid w:val="00023634"/>
    <w:rsid w:val="0002523D"/>
    <w:rsid w:val="00042F96"/>
    <w:rsid w:val="0005795E"/>
    <w:rsid w:val="000651E9"/>
    <w:rsid w:val="00072811"/>
    <w:rsid w:val="00073AA7"/>
    <w:rsid w:val="000750F7"/>
    <w:rsid w:val="00092D6A"/>
    <w:rsid w:val="000A6ACA"/>
    <w:rsid w:val="000A74FA"/>
    <w:rsid w:val="000B149D"/>
    <w:rsid w:val="000B1AC5"/>
    <w:rsid w:val="000B7247"/>
    <w:rsid w:val="000C2801"/>
    <w:rsid w:val="000C6285"/>
    <w:rsid w:val="000D7BBE"/>
    <w:rsid w:val="000E4F39"/>
    <w:rsid w:val="000E569A"/>
    <w:rsid w:val="000F7C44"/>
    <w:rsid w:val="0010559C"/>
    <w:rsid w:val="00107844"/>
    <w:rsid w:val="00120FBD"/>
    <w:rsid w:val="0012424D"/>
    <w:rsid w:val="001246D8"/>
    <w:rsid w:val="001254CD"/>
    <w:rsid w:val="0013159A"/>
    <w:rsid w:val="00132230"/>
    <w:rsid w:val="0013406F"/>
    <w:rsid w:val="00135455"/>
    <w:rsid w:val="001423C1"/>
    <w:rsid w:val="00143310"/>
    <w:rsid w:val="00144E9C"/>
    <w:rsid w:val="00146390"/>
    <w:rsid w:val="00157374"/>
    <w:rsid w:val="00157DCE"/>
    <w:rsid w:val="00161094"/>
    <w:rsid w:val="00163DF9"/>
    <w:rsid w:val="00164F64"/>
    <w:rsid w:val="001666D6"/>
    <w:rsid w:val="00166B5D"/>
    <w:rsid w:val="001675EF"/>
    <w:rsid w:val="0017028A"/>
    <w:rsid w:val="00170BDD"/>
    <w:rsid w:val="00176905"/>
    <w:rsid w:val="00180816"/>
    <w:rsid w:val="001812B5"/>
    <w:rsid w:val="0018348A"/>
    <w:rsid w:val="00187409"/>
    <w:rsid w:val="00190D5A"/>
    <w:rsid w:val="001979B5"/>
    <w:rsid w:val="001A20C0"/>
    <w:rsid w:val="001A349A"/>
    <w:rsid w:val="001A5F7C"/>
    <w:rsid w:val="001A6E5B"/>
    <w:rsid w:val="001A7451"/>
    <w:rsid w:val="001C1FAD"/>
    <w:rsid w:val="001D291F"/>
    <w:rsid w:val="001D32AE"/>
    <w:rsid w:val="001E188E"/>
    <w:rsid w:val="001E35D3"/>
    <w:rsid w:val="001E4F92"/>
    <w:rsid w:val="001F3189"/>
    <w:rsid w:val="001F4A73"/>
    <w:rsid w:val="00205580"/>
    <w:rsid w:val="00213DC6"/>
    <w:rsid w:val="002157BB"/>
    <w:rsid w:val="0022431F"/>
    <w:rsid w:val="002262B5"/>
    <w:rsid w:val="00227137"/>
    <w:rsid w:val="0023138D"/>
    <w:rsid w:val="00231601"/>
    <w:rsid w:val="00240013"/>
    <w:rsid w:val="0024118E"/>
    <w:rsid w:val="00241BAC"/>
    <w:rsid w:val="0024329B"/>
    <w:rsid w:val="00253849"/>
    <w:rsid w:val="00260382"/>
    <w:rsid w:val="002643C1"/>
    <w:rsid w:val="00266CB4"/>
    <w:rsid w:val="00267DD1"/>
    <w:rsid w:val="00271392"/>
    <w:rsid w:val="002801AA"/>
    <w:rsid w:val="00282865"/>
    <w:rsid w:val="0028393F"/>
    <w:rsid w:val="002903C7"/>
    <w:rsid w:val="00293D00"/>
    <w:rsid w:val="00295B34"/>
    <w:rsid w:val="002A5D69"/>
    <w:rsid w:val="002B1A1B"/>
    <w:rsid w:val="002B1DBF"/>
    <w:rsid w:val="002C0A37"/>
    <w:rsid w:val="002C0D5D"/>
    <w:rsid w:val="002C692D"/>
    <w:rsid w:val="002C6ABE"/>
    <w:rsid w:val="002D2013"/>
    <w:rsid w:val="002D4160"/>
    <w:rsid w:val="002D49DD"/>
    <w:rsid w:val="002D7B89"/>
    <w:rsid w:val="002E388C"/>
    <w:rsid w:val="002E4FF5"/>
    <w:rsid w:val="002E6E90"/>
    <w:rsid w:val="002F1BF3"/>
    <w:rsid w:val="002F4D43"/>
    <w:rsid w:val="003056C6"/>
    <w:rsid w:val="00311B14"/>
    <w:rsid w:val="003138DA"/>
    <w:rsid w:val="00317238"/>
    <w:rsid w:val="00324306"/>
    <w:rsid w:val="00326C9B"/>
    <w:rsid w:val="003278D6"/>
    <w:rsid w:val="003303F0"/>
    <w:rsid w:val="0033725A"/>
    <w:rsid w:val="0034059B"/>
    <w:rsid w:val="00341394"/>
    <w:rsid w:val="00342381"/>
    <w:rsid w:val="003460F1"/>
    <w:rsid w:val="0035019C"/>
    <w:rsid w:val="00360248"/>
    <w:rsid w:val="00366A46"/>
    <w:rsid w:val="0037425A"/>
    <w:rsid w:val="0037685A"/>
    <w:rsid w:val="003779F3"/>
    <w:rsid w:val="00377A0D"/>
    <w:rsid w:val="0038677D"/>
    <w:rsid w:val="00390B93"/>
    <w:rsid w:val="0039454F"/>
    <w:rsid w:val="0039797E"/>
    <w:rsid w:val="003C1EE7"/>
    <w:rsid w:val="003C4C68"/>
    <w:rsid w:val="003D3FF4"/>
    <w:rsid w:val="003D7161"/>
    <w:rsid w:val="003E3F9D"/>
    <w:rsid w:val="003E5B5D"/>
    <w:rsid w:val="003E69E5"/>
    <w:rsid w:val="003F7458"/>
    <w:rsid w:val="00400CE1"/>
    <w:rsid w:val="0040748E"/>
    <w:rsid w:val="0041075A"/>
    <w:rsid w:val="00412206"/>
    <w:rsid w:val="004204E7"/>
    <w:rsid w:val="00427B02"/>
    <w:rsid w:val="00427E08"/>
    <w:rsid w:val="0043219C"/>
    <w:rsid w:val="004349BA"/>
    <w:rsid w:val="0043575C"/>
    <w:rsid w:val="004365C7"/>
    <w:rsid w:val="004425B7"/>
    <w:rsid w:val="00444A85"/>
    <w:rsid w:val="00445051"/>
    <w:rsid w:val="004463A8"/>
    <w:rsid w:val="004534CC"/>
    <w:rsid w:val="0045651D"/>
    <w:rsid w:val="00462CFA"/>
    <w:rsid w:val="00462E74"/>
    <w:rsid w:val="00476CB0"/>
    <w:rsid w:val="00486DB1"/>
    <w:rsid w:val="004875EA"/>
    <w:rsid w:val="004937F5"/>
    <w:rsid w:val="00493E10"/>
    <w:rsid w:val="004972E8"/>
    <w:rsid w:val="004A1D19"/>
    <w:rsid w:val="004A31A7"/>
    <w:rsid w:val="004C0F9E"/>
    <w:rsid w:val="004C1243"/>
    <w:rsid w:val="004C5C26"/>
    <w:rsid w:val="004D17F4"/>
    <w:rsid w:val="004D1B41"/>
    <w:rsid w:val="004F7E99"/>
    <w:rsid w:val="005003F9"/>
    <w:rsid w:val="0050417B"/>
    <w:rsid w:val="005133CE"/>
    <w:rsid w:val="005166C5"/>
    <w:rsid w:val="00521BA3"/>
    <w:rsid w:val="00523E0D"/>
    <w:rsid w:val="00525588"/>
    <w:rsid w:val="005262E9"/>
    <w:rsid w:val="0052710E"/>
    <w:rsid w:val="00535C53"/>
    <w:rsid w:val="00540AE6"/>
    <w:rsid w:val="005442FC"/>
    <w:rsid w:val="0055631D"/>
    <w:rsid w:val="005606CB"/>
    <w:rsid w:val="00582F3C"/>
    <w:rsid w:val="005902F9"/>
    <w:rsid w:val="00592117"/>
    <w:rsid w:val="00593935"/>
    <w:rsid w:val="005973FD"/>
    <w:rsid w:val="00597C68"/>
    <w:rsid w:val="005A382B"/>
    <w:rsid w:val="005A4047"/>
    <w:rsid w:val="005A66D6"/>
    <w:rsid w:val="005C0D39"/>
    <w:rsid w:val="005C6232"/>
    <w:rsid w:val="005D6F7A"/>
    <w:rsid w:val="005D783C"/>
    <w:rsid w:val="005E41FF"/>
    <w:rsid w:val="005E5B88"/>
    <w:rsid w:val="005E78EE"/>
    <w:rsid w:val="005F10A8"/>
    <w:rsid w:val="005F139F"/>
    <w:rsid w:val="005F1EBD"/>
    <w:rsid w:val="005F4B81"/>
    <w:rsid w:val="006002BB"/>
    <w:rsid w:val="00602F84"/>
    <w:rsid w:val="0060503F"/>
    <w:rsid w:val="006063D0"/>
    <w:rsid w:val="00613C45"/>
    <w:rsid w:val="00615191"/>
    <w:rsid w:val="00633D4E"/>
    <w:rsid w:val="0063526F"/>
    <w:rsid w:val="00637E86"/>
    <w:rsid w:val="006422DE"/>
    <w:rsid w:val="006439FA"/>
    <w:rsid w:val="00643AF6"/>
    <w:rsid w:val="006560FA"/>
    <w:rsid w:val="00667F5F"/>
    <w:rsid w:val="0067485D"/>
    <w:rsid w:val="00694DEB"/>
    <w:rsid w:val="006A2065"/>
    <w:rsid w:val="006A3D88"/>
    <w:rsid w:val="006A4A7A"/>
    <w:rsid w:val="006A7C94"/>
    <w:rsid w:val="006B0848"/>
    <w:rsid w:val="006B733D"/>
    <w:rsid w:val="006C34AE"/>
    <w:rsid w:val="006C4F2E"/>
    <w:rsid w:val="006C67AF"/>
    <w:rsid w:val="006D0FFF"/>
    <w:rsid w:val="006D2AB2"/>
    <w:rsid w:val="006D3DC5"/>
    <w:rsid w:val="006E14C4"/>
    <w:rsid w:val="006E34CB"/>
    <w:rsid w:val="006F143B"/>
    <w:rsid w:val="00701C5A"/>
    <w:rsid w:val="007039EC"/>
    <w:rsid w:val="0071572D"/>
    <w:rsid w:val="007157BA"/>
    <w:rsid w:val="007169F9"/>
    <w:rsid w:val="007174A6"/>
    <w:rsid w:val="007224B3"/>
    <w:rsid w:val="00726320"/>
    <w:rsid w:val="00731303"/>
    <w:rsid w:val="00732A95"/>
    <w:rsid w:val="00732D90"/>
    <w:rsid w:val="00737F20"/>
    <w:rsid w:val="007402E0"/>
    <w:rsid w:val="007436DB"/>
    <w:rsid w:val="0074489D"/>
    <w:rsid w:val="00746549"/>
    <w:rsid w:val="007471AB"/>
    <w:rsid w:val="007514AD"/>
    <w:rsid w:val="00752077"/>
    <w:rsid w:val="00753941"/>
    <w:rsid w:val="0075524D"/>
    <w:rsid w:val="007560B0"/>
    <w:rsid w:val="007627D7"/>
    <w:rsid w:val="0076482C"/>
    <w:rsid w:val="00767122"/>
    <w:rsid w:val="00774AFB"/>
    <w:rsid w:val="00776C4F"/>
    <w:rsid w:val="00780154"/>
    <w:rsid w:val="007838E4"/>
    <w:rsid w:val="007846DC"/>
    <w:rsid w:val="00786426"/>
    <w:rsid w:val="007A19D8"/>
    <w:rsid w:val="007A3085"/>
    <w:rsid w:val="007B1394"/>
    <w:rsid w:val="007D3F55"/>
    <w:rsid w:val="007E022C"/>
    <w:rsid w:val="007E36E4"/>
    <w:rsid w:val="007E5963"/>
    <w:rsid w:val="007F0ACE"/>
    <w:rsid w:val="007F31AE"/>
    <w:rsid w:val="007F37D1"/>
    <w:rsid w:val="00800F0E"/>
    <w:rsid w:val="00802D8D"/>
    <w:rsid w:val="00804024"/>
    <w:rsid w:val="0080573A"/>
    <w:rsid w:val="0081753E"/>
    <w:rsid w:val="008320D4"/>
    <w:rsid w:val="008335B3"/>
    <w:rsid w:val="00835B67"/>
    <w:rsid w:val="008379E5"/>
    <w:rsid w:val="008477FB"/>
    <w:rsid w:val="0085010E"/>
    <w:rsid w:val="0085254C"/>
    <w:rsid w:val="0085454F"/>
    <w:rsid w:val="008612EB"/>
    <w:rsid w:val="00862635"/>
    <w:rsid w:val="00870102"/>
    <w:rsid w:val="0087354F"/>
    <w:rsid w:val="00896985"/>
    <w:rsid w:val="008C53D0"/>
    <w:rsid w:val="008D43E1"/>
    <w:rsid w:val="008D527A"/>
    <w:rsid w:val="008D56DA"/>
    <w:rsid w:val="008D5771"/>
    <w:rsid w:val="008E6270"/>
    <w:rsid w:val="008F472E"/>
    <w:rsid w:val="00902556"/>
    <w:rsid w:val="0090338C"/>
    <w:rsid w:val="00910415"/>
    <w:rsid w:val="0091048E"/>
    <w:rsid w:val="00916E68"/>
    <w:rsid w:val="00920D0B"/>
    <w:rsid w:val="0092230A"/>
    <w:rsid w:val="00924ABC"/>
    <w:rsid w:val="009266A0"/>
    <w:rsid w:val="00934349"/>
    <w:rsid w:val="00940E8F"/>
    <w:rsid w:val="00942655"/>
    <w:rsid w:val="00944CC8"/>
    <w:rsid w:val="009453BD"/>
    <w:rsid w:val="00945844"/>
    <w:rsid w:val="009514E2"/>
    <w:rsid w:val="0095309C"/>
    <w:rsid w:val="009652F2"/>
    <w:rsid w:val="0097038D"/>
    <w:rsid w:val="009719ED"/>
    <w:rsid w:val="00971C32"/>
    <w:rsid w:val="009854BC"/>
    <w:rsid w:val="00986C37"/>
    <w:rsid w:val="00991D3B"/>
    <w:rsid w:val="00997528"/>
    <w:rsid w:val="0099796A"/>
    <w:rsid w:val="009B1BE6"/>
    <w:rsid w:val="009B4090"/>
    <w:rsid w:val="009B7DDD"/>
    <w:rsid w:val="009C1346"/>
    <w:rsid w:val="009D05C8"/>
    <w:rsid w:val="009D130E"/>
    <w:rsid w:val="009D1F57"/>
    <w:rsid w:val="009E3C0B"/>
    <w:rsid w:val="009F0FE2"/>
    <w:rsid w:val="00A00614"/>
    <w:rsid w:val="00A04657"/>
    <w:rsid w:val="00A129C6"/>
    <w:rsid w:val="00A13244"/>
    <w:rsid w:val="00A239AA"/>
    <w:rsid w:val="00A25BB4"/>
    <w:rsid w:val="00A31B9C"/>
    <w:rsid w:val="00A439E8"/>
    <w:rsid w:val="00A45753"/>
    <w:rsid w:val="00A53194"/>
    <w:rsid w:val="00A53423"/>
    <w:rsid w:val="00A62659"/>
    <w:rsid w:val="00A65082"/>
    <w:rsid w:val="00A65F20"/>
    <w:rsid w:val="00A75FFC"/>
    <w:rsid w:val="00A76293"/>
    <w:rsid w:val="00A77DA2"/>
    <w:rsid w:val="00A8205C"/>
    <w:rsid w:val="00A85D9D"/>
    <w:rsid w:val="00A90584"/>
    <w:rsid w:val="00A92C4C"/>
    <w:rsid w:val="00AA602D"/>
    <w:rsid w:val="00AB1EF9"/>
    <w:rsid w:val="00AB3266"/>
    <w:rsid w:val="00AB572D"/>
    <w:rsid w:val="00AC26C2"/>
    <w:rsid w:val="00AE2923"/>
    <w:rsid w:val="00AE6895"/>
    <w:rsid w:val="00AE7F9D"/>
    <w:rsid w:val="00AF1794"/>
    <w:rsid w:val="00B021AD"/>
    <w:rsid w:val="00B028F7"/>
    <w:rsid w:val="00B07951"/>
    <w:rsid w:val="00B1079A"/>
    <w:rsid w:val="00B21275"/>
    <w:rsid w:val="00B22863"/>
    <w:rsid w:val="00B31029"/>
    <w:rsid w:val="00B31571"/>
    <w:rsid w:val="00B323FA"/>
    <w:rsid w:val="00B400D1"/>
    <w:rsid w:val="00B40D3C"/>
    <w:rsid w:val="00B41502"/>
    <w:rsid w:val="00B51024"/>
    <w:rsid w:val="00B512B5"/>
    <w:rsid w:val="00B52697"/>
    <w:rsid w:val="00B56C94"/>
    <w:rsid w:val="00B576C1"/>
    <w:rsid w:val="00B60CD8"/>
    <w:rsid w:val="00B60F9C"/>
    <w:rsid w:val="00B61FCE"/>
    <w:rsid w:val="00B669D0"/>
    <w:rsid w:val="00B6769E"/>
    <w:rsid w:val="00B7033D"/>
    <w:rsid w:val="00B70F69"/>
    <w:rsid w:val="00B73F22"/>
    <w:rsid w:val="00B76F9A"/>
    <w:rsid w:val="00B810B2"/>
    <w:rsid w:val="00B825A7"/>
    <w:rsid w:val="00B839E2"/>
    <w:rsid w:val="00B93844"/>
    <w:rsid w:val="00B97B08"/>
    <w:rsid w:val="00BA26F7"/>
    <w:rsid w:val="00BA4F8E"/>
    <w:rsid w:val="00BA79F0"/>
    <w:rsid w:val="00BB4740"/>
    <w:rsid w:val="00BB4CCC"/>
    <w:rsid w:val="00BB5068"/>
    <w:rsid w:val="00BB6FF8"/>
    <w:rsid w:val="00BB7AE8"/>
    <w:rsid w:val="00BD0481"/>
    <w:rsid w:val="00BD4447"/>
    <w:rsid w:val="00BD57FC"/>
    <w:rsid w:val="00BE2623"/>
    <w:rsid w:val="00BE3923"/>
    <w:rsid w:val="00BE4BF0"/>
    <w:rsid w:val="00BE552E"/>
    <w:rsid w:val="00BE5EE5"/>
    <w:rsid w:val="00BE68EE"/>
    <w:rsid w:val="00BE7F63"/>
    <w:rsid w:val="00BF45FB"/>
    <w:rsid w:val="00BF5D02"/>
    <w:rsid w:val="00C03754"/>
    <w:rsid w:val="00C11360"/>
    <w:rsid w:val="00C123B1"/>
    <w:rsid w:val="00C21071"/>
    <w:rsid w:val="00C2398C"/>
    <w:rsid w:val="00C25569"/>
    <w:rsid w:val="00C27366"/>
    <w:rsid w:val="00C301BE"/>
    <w:rsid w:val="00C440C9"/>
    <w:rsid w:val="00C456C3"/>
    <w:rsid w:val="00C47CED"/>
    <w:rsid w:val="00C621D9"/>
    <w:rsid w:val="00C63AA8"/>
    <w:rsid w:val="00C64D02"/>
    <w:rsid w:val="00C66E81"/>
    <w:rsid w:val="00C72F0F"/>
    <w:rsid w:val="00C7783C"/>
    <w:rsid w:val="00C81210"/>
    <w:rsid w:val="00C86048"/>
    <w:rsid w:val="00C878FC"/>
    <w:rsid w:val="00CA0C1C"/>
    <w:rsid w:val="00CA6B58"/>
    <w:rsid w:val="00CA7186"/>
    <w:rsid w:val="00CB1AE6"/>
    <w:rsid w:val="00CB3ED4"/>
    <w:rsid w:val="00CB3F86"/>
    <w:rsid w:val="00CC78BA"/>
    <w:rsid w:val="00CD0739"/>
    <w:rsid w:val="00CD34F0"/>
    <w:rsid w:val="00CE075E"/>
    <w:rsid w:val="00CE0954"/>
    <w:rsid w:val="00CE4F6C"/>
    <w:rsid w:val="00CE5D37"/>
    <w:rsid w:val="00CE7200"/>
    <w:rsid w:val="00CE7D3E"/>
    <w:rsid w:val="00CF11F7"/>
    <w:rsid w:val="00D01921"/>
    <w:rsid w:val="00D019E2"/>
    <w:rsid w:val="00D0746A"/>
    <w:rsid w:val="00D1323F"/>
    <w:rsid w:val="00D14954"/>
    <w:rsid w:val="00D202BA"/>
    <w:rsid w:val="00D2066D"/>
    <w:rsid w:val="00D251AC"/>
    <w:rsid w:val="00D317DB"/>
    <w:rsid w:val="00D36FD9"/>
    <w:rsid w:val="00D414B3"/>
    <w:rsid w:val="00D43766"/>
    <w:rsid w:val="00D45C03"/>
    <w:rsid w:val="00D47CCF"/>
    <w:rsid w:val="00D54EBD"/>
    <w:rsid w:val="00D6457B"/>
    <w:rsid w:val="00D66DEC"/>
    <w:rsid w:val="00D71A41"/>
    <w:rsid w:val="00D75EF5"/>
    <w:rsid w:val="00D768A4"/>
    <w:rsid w:val="00D85C57"/>
    <w:rsid w:val="00D862E1"/>
    <w:rsid w:val="00D92F52"/>
    <w:rsid w:val="00DA5623"/>
    <w:rsid w:val="00DA6550"/>
    <w:rsid w:val="00DA74E1"/>
    <w:rsid w:val="00DA753F"/>
    <w:rsid w:val="00DB3964"/>
    <w:rsid w:val="00DB4429"/>
    <w:rsid w:val="00DC182C"/>
    <w:rsid w:val="00DC4E5B"/>
    <w:rsid w:val="00DC5754"/>
    <w:rsid w:val="00DD314E"/>
    <w:rsid w:val="00DD34A3"/>
    <w:rsid w:val="00DD4EC8"/>
    <w:rsid w:val="00DD6056"/>
    <w:rsid w:val="00DE6050"/>
    <w:rsid w:val="00DE7C6A"/>
    <w:rsid w:val="00DF0700"/>
    <w:rsid w:val="00DF2857"/>
    <w:rsid w:val="00DF782B"/>
    <w:rsid w:val="00E0069D"/>
    <w:rsid w:val="00E03AEF"/>
    <w:rsid w:val="00E03C62"/>
    <w:rsid w:val="00E04611"/>
    <w:rsid w:val="00E102DE"/>
    <w:rsid w:val="00E10360"/>
    <w:rsid w:val="00E24825"/>
    <w:rsid w:val="00E42093"/>
    <w:rsid w:val="00E44D9F"/>
    <w:rsid w:val="00E46683"/>
    <w:rsid w:val="00E522AD"/>
    <w:rsid w:val="00E614BC"/>
    <w:rsid w:val="00E62B9F"/>
    <w:rsid w:val="00E64103"/>
    <w:rsid w:val="00E656E1"/>
    <w:rsid w:val="00E70777"/>
    <w:rsid w:val="00E75420"/>
    <w:rsid w:val="00E75512"/>
    <w:rsid w:val="00E75CBB"/>
    <w:rsid w:val="00E76CD1"/>
    <w:rsid w:val="00EA54E5"/>
    <w:rsid w:val="00EA5616"/>
    <w:rsid w:val="00EB6BC9"/>
    <w:rsid w:val="00EC02C6"/>
    <w:rsid w:val="00ED1370"/>
    <w:rsid w:val="00EE4AD8"/>
    <w:rsid w:val="00F01A3E"/>
    <w:rsid w:val="00F03064"/>
    <w:rsid w:val="00F03201"/>
    <w:rsid w:val="00F1127A"/>
    <w:rsid w:val="00F139AC"/>
    <w:rsid w:val="00F21EAC"/>
    <w:rsid w:val="00F23F7D"/>
    <w:rsid w:val="00F3243D"/>
    <w:rsid w:val="00F46D0D"/>
    <w:rsid w:val="00F65EAA"/>
    <w:rsid w:val="00F75564"/>
    <w:rsid w:val="00F92B59"/>
    <w:rsid w:val="00F948BC"/>
    <w:rsid w:val="00F960CF"/>
    <w:rsid w:val="00FA10A3"/>
    <w:rsid w:val="00FA1226"/>
    <w:rsid w:val="00FA7771"/>
    <w:rsid w:val="00FB3E38"/>
    <w:rsid w:val="00FC73C8"/>
    <w:rsid w:val="00FD09D8"/>
    <w:rsid w:val="00FD4D62"/>
    <w:rsid w:val="00FF2318"/>
    <w:rsid w:val="00FF2CFC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D63DD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D43E1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76C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8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816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80816"/>
    <w:rPr>
      <w:color w:val="954F72" w:themeColor="followedHyperlink"/>
      <w:u w:val="single"/>
    </w:rPr>
  </w:style>
  <w:style w:type="paragraph" w:customStyle="1" w:styleId="Znak">
    <w:name w:val="Znak"/>
    <w:basedOn w:val="Normalny"/>
    <w:rsid w:val="00870102"/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0D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3219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937F5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C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CED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okik.gov.pl/aktualnosci.php?news_id=17108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uokik.gov.pl/aktualnosci.php?news_id=17785" TargetMode="External"/><Relationship Id="rId17" Type="http://schemas.openxmlformats.org/officeDocument/2006/relationships/hyperlink" Target="https://www.uokik.gov.pl/download.php?plik=2468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okik.gov.pl/aktualnosci.php?news_id=1646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okik.gov.pl/aktualnosci.php?news_id=180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okik.gov.pl/koncentracje.php" TargetMode="External"/><Relationship Id="rId10" Type="http://schemas.openxmlformats.org/officeDocument/2006/relationships/hyperlink" Target="https://www.uokik.gov.pl/aktualnosci.php?news_id=18070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uokik.gov.pl/aktualnosci.php?news_id=17929" TargetMode="External"/><Relationship Id="rId14" Type="http://schemas.openxmlformats.org/officeDocument/2006/relationships/hyperlink" Target="https://uokik.gov.pl/faq__kontrola_koncentracji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085B-B5FF-445C-B332-4A7F9201EBF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04597B9-4429-48D7-B9CA-58F98703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Julia Pinkiewicz</cp:lastModifiedBy>
  <cp:revision>3</cp:revision>
  <cp:lastPrinted>2022-01-19T10:27:00Z</cp:lastPrinted>
  <dcterms:created xsi:type="dcterms:W3CDTF">2022-02-07T14:03:00Z</dcterms:created>
  <dcterms:modified xsi:type="dcterms:W3CDTF">2022-02-08T07:08:00Z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8a5b650d-2f6e-4717-bbbd-2113ee124c2c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