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D909" w14:textId="77777777" w:rsidR="00D47CCF" w:rsidRPr="0024118E" w:rsidRDefault="00F45E36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FUNDUSZE INWESTYCYJNE – </w:t>
      </w:r>
      <w:r w:rsidR="003D49AD">
        <w:rPr>
          <w:sz w:val="32"/>
          <w:szCs w:val="32"/>
        </w:rPr>
        <w:t>POLICZ I NIE PRZELICZ SIĘ</w:t>
      </w:r>
    </w:p>
    <w:p w14:paraId="755B160B" w14:textId="77777777" w:rsidR="00C2398C" w:rsidRPr="005428E6" w:rsidRDefault="003D49A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Dziś w</w:t>
      </w:r>
      <w:r w:rsidR="00F45E36">
        <w:rPr>
          <w:rFonts w:cs="Tahoma"/>
          <w:b/>
          <w:bCs/>
          <w:color w:val="000000" w:themeColor="text1"/>
          <w:sz w:val="22"/>
          <w:lang w:eastAsia="en-GB"/>
        </w:rPr>
        <w:t xml:space="preserve"> ramach kampanii „Policz i nie przelicz się” radzi</w:t>
      </w:r>
      <w:r w:rsidR="005413BB">
        <w:rPr>
          <w:rFonts w:cs="Tahoma"/>
          <w:b/>
          <w:bCs/>
          <w:color w:val="000000" w:themeColor="text1"/>
          <w:sz w:val="22"/>
          <w:lang w:eastAsia="en-GB"/>
        </w:rPr>
        <w:t>my</w:t>
      </w:r>
      <w:r w:rsidR="00F45E36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2149D9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co zwrócić uwagę przy wyborze </w:t>
      </w:r>
      <w:r w:rsidR="002149D9">
        <w:rPr>
          <w:rFonts w:cs="Tahoma"/>
          <w:b/>
          <w:bCs/>
          <w:color w:val="000000" w:themeColor="text1"/>
          <w:sz w:val="22"/>
          <w:lang w:eastAsia="en-GB"/>
        </w:rPr>
        <w:t>fundusz</w:t>
      </w:r>
      <w:r>
        <w:rPr>
          <w:rFonts w:cs="Tahoma"/>
          <w:b/>
          <w:bCs/>
          <w:color w:val="000000" w:themeColor="text1"/>
          <w:sz w:val="22"/>
          <w:lang w:eastAsia="en-GB"/>
        </w:rPr>
        <w:t>u</w:t>
      </w:r>
      <w:r w:rsidR="002149D9">
        <w:rPr>
          <w:rFonts w:cs="Tahoma"/>
          <w:b/>
          <w:bCs/>
          <w:color w:val="000000" w:themeColor="text1"/>
          <w:sz w:val="22"/>
          <w:lang w:eastAsia="en-GB"/>
        </w:rPr>
        <w:t xml:space="preserve"> inwestycyjn</w:t>
      </w:r>
      <w:r>
        <w:rPr>
          <w:rFonts w:cs="Tahoma"/>
          <w:b/>
          <w:bCs/>
          <w:color w:val="000000" w:themeColor="text1"/>
          <w:sz w:val="22"/>
          <w:lang w:eastAsia="en-GB"/>
        </w:rPr>
        <w:t>ego</w:t>
      </w:r>
      <w:r w:rsidR="00F45E3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26993DD" w14:textId="77777777" w:rsidR="00986C37" w:rsidRPr="005428E6" w:rsidRDefault="00AC6168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Zanim powierzysz swoje pieniądze TFI</w:t>
      </w:r>
      <w:r w:rsidR="009B6CB3">
        <w:rPr>
          <w:rFonts w:cs="Tahoma"/>
          <w:b/>
          <w:bCs/>
          <w:color w:val="000000" w:themeColor="text1"/>
          <w:sz w:val="22"/>
          <w:lang w:eastAsia="en-GB"/>
        </w:rPr>
        <w:t>,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68E4">
        <w:rPr>
          <w:rFonts w:cs="Tahoma"/>
          <w:b/>
          <w:bCs/>
          <w:color w:val="000000" w:themeColor="text1"/>
          <w:sz w:val="22"/>
          <w:lang w:eastAsia="en-GB"/>
        </w:rPr>
        <w:t>sprawdź koszty z jakimi wiąże się  inwesto</w:t>
      </w:r>
      <w:r w:rsidR="00DD760B">
        <w:rPr>
          <w:rFonts w:cs="Tahoma"/>
          <w:b/>
          <w:bCs/>
          <w:color w:val="000000" w:themeColor="text1"/>
          <w:sz w:val="22"/>
          <w:lang w:eastAsia="en-GB"/>
        </w:rPr>
        <w:t>wanie w fundusze inwestycyjne, porównaj wysokość</w:t>
      </w:r>
      <w:r w:rsidR="00C968E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214BFB">
        <w:rPr>
          <w:rFonts w:cs="Tahoma"/>
          <w:b/>
          <w:bCs/>
          <w:color w:val="000000" w:themeColor="text1"/>
          <w:sz w:val="22"/>
          <w:lang w:eastAsia="en-GB"/>
        </w:rPr>
        <w:t xml:space="preserve">opłat </w:t>
      </w:r>
      <w:r w:rsidR="00C968E4">
        <w:rPr>
          <w:rFonts w:cs="Tahoma"/>
          <w:b/>
          <w:bCs/>
          <w:color w:val="000000" w:themeColor="text1"/>
          <w:sz w:val="22"/>
          <w:lang w:eastAsia="en-GB"/>
        </w:rPr>
        <w:t xml:space="preserve">pobieranych </w:t>
      </w:r>
      <w:r w:rsidR="00DD760B">
        <w:rPr>
          <w:rFonts w:cs="Tahoma"/>
          <w:b/>
          <w:bCs/>
          <w:color w:val="000000" w:themeColor="text1"/>
          <w:sz w:val="22"/>
          <w:lang w:eastAsia="en-GB"/>
        </w:rPr>
        <w:t xml:space="preserve">przez </w:t>
      </w:r>
      <w:r>
        <w:rPr>
          <w:rFonts w:cs="Tahoma"/>
          <w:b/>
          <w:bCs/>
          <w:color w:val="000000" w:themeColor="text1"/>
          <w:sz w:val="22"/>
          <w:lang w:eastAsia="en-GB"/>
        </w:rPr>
        <w:t>różn</w:t>
      </w:r>
      <w:r w:rsidR="00DD760B">
        <w:rPr>
          <w:rFonts w:cs="Tahoma"/>
          <w:b/>
          <w:bCs/>
          <w:color w:val="000000" w:themeColor="text1"/>
          <w:sz w:val="22"/>
          <w:lang w:eastAsia="en-GB"/>
        </w:rPr>
        <w:t>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68E4">
        <w:rPr>
          <w:rFonts w:cs="Tahoma"/>
          <w:b/>
          <w:bCs/>
          <w:color w:val="000000" w:themeColor="text1"/>
          <w:sz w:val="22"/>
          <w:lang w:eastAsia="en-GB"/>
        </w:rPr>
        <w:t>f</w:t>
      </w:r>
      <w:r w:rsidR="00DD760B">
        <w:rPr>
          <w:rFonts w:cs="Tahoma"/>
          <w:b/>
          <w:bCs/>
          <w:color w:val="000000" w:themeColor="text1"/>
          <w:sz w:val="22"/>
          <w:lang w:eastAsia="en-GB"/>
        </w:rPr>
        <w:t>undusze inwestycyjne</w:t>
      </w:r>
      <w:r w:rsidR="00C968E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 dokładnie zapoznaj się z </w:t>
      </w:r>
      <w:r w:rsidR="00352764">
        <w:rPr>
          <w:rFonts w:cs="Tahoma"/>
          <w:b/>
          <w:bCs/>
          <w:color w:val="000000" w:themeColor="text1"/>
          <w:sz w:val="22"/>
          <w:lang w:eastAsia="en-GB"/>
        </w:rPr>
        <w:t>dokumentami dotyczącymi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wybranego funduszu.</w:t>
      </w:r>
    </w:p>
    <w:p w14:paraId="675A6677" w14:textId="77777777" w:rsidR="00986C37" w:rsidRPr="005428E6" w:rsidRDefault="00E106AE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Pamiętaj, że</w:t>
      </w:r>
      <w:r w:rsidR="009B6CB3">
        <w:rPr>
          <w:rFonts w:cs="Tahoma"/>
          <w:b/>
          <w:bCs/>
          <w:color w:val="000000" w:themeColor="text1"/>
          <w:sz w:val="22"/>
          <w:lang w:eastAsia="en-GB"/>
        </w:rPr>
        <w:t xml:space="preserve"> możesz nie tylko zyskać, ale też stracić – dlatego sprawdź ryzyka związane z inwestowaniem</w:t>
      </w:r>
      <w:r w:rsidR="003D49AD">
        <w:rPr>
          <w:rFonts w:cs="Tahoma"/>
          <w:b/>
          <w:bCs/>
          <w:color w:val="000000" w:themeColor="text1"/>
          <w:sz w:val="22"/>
          <w:lang w:eastAsia="en-GB"/>
        </w:rPr>
        <w:t>, wysokość opłat</w:t>
      </w:r>
      <w:r w:rsidR="009B6CB3">
        <w:rPr>
          <w:rFonts w:cs="Tahoma"/>
          <w:b/>
          <w:bCs/>
          <w:color w:val="000000" w:themeColor="text1"/>
          <w:sz w:val="22"/>
          <w:lang w:eastAsia="en-GB"/>
        </w:rPr>
        <w:t xml:space="preserve"> i możliwość wycofania środków.</w:t>
      </w:r>
    </w:p>
    <w:p w14:paraId="1219D3A0" w14:textId="77777777" w:rsidR="000F06E2" w:rsidRDefault="0010559C" w:rsidP="009B6CB3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46F82">
        <w:rPr>
          <w:b/>
          <w:sz w:val="22"/>
        </w:rPr>
        <w:t>2</w:t>
      </w:r>
      <w:r w:rsidR="001E0438">
        <w:rPr>
          <w:b/>
          <w:sz w:val="22"/>
        </w:rPr>
        <w:t>7</w:t>
      </w:r>
      <w:r w:rsidR="00986C37">
        <w:rPr>
          <w:b/>
          <w:sz w:val="22"/>
        </w:rPr>
        <w:t xml:space="preserve"> </w:t>
      </w:r>
      <w:r w:rsidR="00F45E36" w:rsidRPr="00F45E36">
        <w:rPr>
          <w:b/>
          <w:sz w:val="20"/>
        </w:rPr>
        <w:t>września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A555C">
        <w:rPr>
          <w:sz w:val="22"/>
        </w:rPr>
        <w:t xml:space="preserve">Trwa kampania </w:t>
      </w:r>
      <w:r w:rsidR="005413BB">
        <w:rPr>
          <w:sz w:val="22"/>
        </w:rPr>
        <w:t xml:space="preserve">Prezesa </w:t>
      </w:r>
      <w:r w:rsidR="008A555C">
        <w:rPr>
          <w:sz w:val="22"/>
        </w:rPr>
        <w:t>UOKiK „Policz i nie przelicz się”</w:t>
      </w:r>
      <w:r w:rsidR="00E106AE">
        <w:rPr>
          <w:sz w:val="22"/>
        </w:rPr>
        <w:t>, w której radzimy, jak uchronić się przed nietrafiony</w:t>
      </w:r>
      <w:r w:rsidR="000F06E2">
        <w:rPr>
          <w:sz w:val="22"/>
        </w:rPr>
        <w:t>mi</w:t>
      </w:r>
      <w:r w:rsidR="00E106AE">
        <w:rPr>
          <w:sz w:val="22"/>
        </w:rPr>
        <w:t xml:space="preserve"> inwestycj</w:t>
      </w:r>
      <w:r w:rsidR="000F06E2">
        <w:rPr>
          <w:sz w:val="22"/>
        </w:rPr>
        <w:t>am</w:t>
      </w:r>
      <w:r w:rsidR="00E106AE">
        <w:rPr>
          <w:sz w:val="22"/>
        </w:rPr>
        <w:t>i</w:t>
      </w:r>
      <w:r w:rsidR="000F06E2">
        <w:rPr>
          <w:sz w:val="22"/>
        </w:rPr>
        <w:t xml:space="preserve"> finansowymi</w:t>
      </w:r>
      <w:r w:rsidR="00E106AE">
        <w:rPr>
          <w:sz w:val="22"/>
        </w:rPr>
        <w:t xml:space="preserve">. </w:t>
      </w:r>
      <w:r w:rsidR="009B6CB3" w:rsidRPr="00B17D21">
        <w:rPr>
          <w:sz w:val="22"/>
        </w:rPr>
        <w:t>Wśród licznych produktów umożliwiających pomnażanie oszczędności funkcjonują fundusze inwestycyjne</w:t>
      </w:r>
      <w:r w:rsidR="00B272C2">
        <w:rPr>
          <w:sz w:val="22"/>
        </w:rPr>
        <w:t xml:space="preserve">, będące formą </w:t>
      </w:r>
      <w:r w:rsidR="009B6CB3" w:rsidRPr="00B17D21">
        <w:rPr>
          <w:sz w:val="22"/>
        </w:rPr>
        <w:t>zbiorowego inwestowania pienię</w:t>
      </w:r>
      <w:r w:rsidR="000F06E2">
        <w:rPr>
          <w:sz w:val="22"/>
        </w:rPr>
        <w:t>dzy</w:t>
      </w:r>
      <w:r w:rsidR="009B6CB3" w:rsidRPr="00B17D21">
        <w:rPr>
          <w:sz w:val="22"/>
        </w:rPr>
        <w:t xml:space="preserve">. </w:t>
      </w:r>
      <w:r w:rsidR="000F06E2">
        <w:rPr>
          <w:sz w:val="22"/>
        </w:rPr>
        <w:t xml:space="preserve">Wpłacasz środki do funduszu, a </w:t>
      </w:r>
      <w:r w:rsidR="00B272C2">
        <w:rPr>
          <w:sz w:val="22"/>
        </w:rPr>
        <w:t>Towarzystwo nim zarządzające</w:t>
      </w:r>
      <w:r w:rsidR="000F06E2">
        <w:rPr>
          <w:sz w:val="22"/>
        </w:rPr>
        <w:t xml:space="preserve"> </w:t>
      </w:r>
      <w:r w:rsidR="00553F74">
        <w:rPr>
          <w:sz w:val="22"/>
        </w:rPr>
        <w:t xml:space="preserve">inwestuje </w:t>
      </w:r>
      <w:r w:rsidR="000F06E2">
        <w:rPr>
          <w:sz w:val="22"/>
        </w:rPr>
        <w:t>je np. w akcje, obligacje, nieruchomości</w:t>
      </w:r>
      <w:r w:rsidR="00B272C2">
        <w:rPr>
          <w:sz w:val="22"/>
        </w:rPr>
        <w:t xml:space="preserve"> czy</w:t>
      </w:r>
      <w:r w:rsidR="000F06E2">
        <w:rPr>
          <w:sz w:val="22"/>
        </w:rPr>
        <w:t xml:space="preserve"> </w:t>
      </w:r>
      <w:r w:rsidR="00690EFB">
        <w:rPr>
          <w:sz w:val="22"/>
        </w:rPr>
        <w:t>wierzytelności</w:t>
      </w:r>
      <w:r w:rsidR="000F06E2">
        <w:rPr>
          <w:sz w:val="22"/>
        </w:rPr>
        <w:t>.</w:t>
      </w:r>
    </w:p>
    <w:p w14:paraId="03D8664A" w14:textId="576514CB" w:rsidR="000F06E2" w:rsidRDefault="00E8219C" w:rsidP="009B6CB3">
      <w:pPr>
        <w:spacing w:after="240" w:line="360" w:lineRule="auto"/>
        <w:jc w:val="both"/>
        <w:rPr>
          <w:sz w:val="22"/>
        </w:rPr>
      </w:pPr>
      <w:r w:rsidRPr="007604E2">
        <w:rPr>
          <w:i/>
          <w:sz w:val="22"/>
        </w:rPr>
        <w:t xml:space="preserve">– </w:t>
      </w:r>
      <w:r w:rsidR="007604E2" w:rsidRPr="007604E2">
        <w:rPr>
          <w:i/>
          <w:sz w:val="22"/>
        </w:rPr>
        <w:t xml:space="preserve">W założeniu fundusze inwestycyjne to rozwiązanie dla osób, które nie mają wystarczającej wiedzy, doświadczenia czy czasu, aby samodzielnie grać na giełdzie czy kupować instrumenty finansowe. </w:t>
      </w:r>
      <w:r w:rsidR="00A375D5">
        <w:rPr>
          <w:i/>
          <w:sz w:val="22"/>
        </w:rPr>
        <w:t>P</w:t>
      </w:r>
      <w:r w:rsidR="007604E2" w:rsidRPr="007604E2">
        <w:rPr>
          <w:i/>
          <w:sz w:val="22"/>
        </w:rPr>
        <w:t xml:space="preserve">omnażanie swoich oszczędności </w:t>
      </w:r>
      <w:r w:rsidR="00A375D5">
        <w:rPr>
          <w:i/>
          <w:sz w:val="22"/>
        </w:rPr>
        <w:t xml:space="preserve">chcą </w:t>
      </w:r>
      <w:r w:rsidR="007604E2" w:rsidRPr="007604E2">
        <w:rPr>
          <w:i/>
          <w:sz w:val="22"/>
        </w:rPr>
        <w:t>powierz</w:t>
      </w:r>
      <w:r w:rsidR="00A375D5">
        <w:rPr>
          <w:i/>
          <w:sz w:val="22"/>
        </w:rPr>
        <w:t>yć</w:t>
      </w:r>
      <w:r w:rsidR="007604E2" w:rsidRPr="007604E2">
        <w:rPr>
          <w:i/>
          <w:sz w:val="22"/>
        </w:rPr>
        <w:t xml:space="preserve"> profesjonalistom. Trzeba jednak pamiętać, że fundusze inwestycyjne mają skomplikowany charakter i </w:t>
      </w:r>
      <w:r w:rsidR="00A375D5">
        <w:rPr>
          <w:i/>
          <w:sz w:val="22"/>
        </w:rPr>
        <w:t xml:space="preserve">w przeszłości nie raz </w:t>
      </w:r>
      <w:r w:rsidR="007604E2" w:rsidRPr="007604E2">
        <w:rPr>
          <w:i/>
          <w:sz w:val="22"/>
        </w:rPr>
        <w:t xml:space="preserve">przynosiły straty. Przed podpisaniem umowy zalecam wnikliwe zapoznanie się z warunkami i </w:t>
      </w:r>
      <w:proofErr w:type="spellStart"/>
      <w:r w:rsidR="007604E2" w:rsidRPr="007604E2">
        <w:rPr>
          <w:i/>
          <w:sz w:val="22"/>
        </w:rPr>
        <w:t>ryzyk</w:t>
      </w:r>
      <w:r w:rsidR="00A375D5">
        <w:rPr>
          <w:i/>
          <w:sz w:val="22"/>
        </w:rPr>
        <w:t>a</w:t>
      </w:r>
      <w:r w:rsidR="007604E2" w:rsidRPr="007604E2">
        <w:rPr>
          <w:i/>
          <w:sz w:val="22"/>
        </w:rPr>
        <w:t>mi</w:t>
      </w:r>
      <w:proofErr w:type="spellEnd"/>
      <w:r w:rsidR="007604E2" w:rsidRPr="007604E2">
        <w:rPr>
          <w:i/>
          <w:sz w:val="22"/>
        </w:rPr>
        <w:t xml:space="preserve"> opisanymi np. w prospekcie emisyjnym, przyjętą przez dany fundusz strategią inwestowania</w:t>
      </w:r>
      <w:r w:rsidR="00A375D5">
        <w:rPr>
          <w:i/>
          <w:sz w:val="22"/>
        </w:rPr>
        <w:t xml:space="preserve"> czy doświadczeniem doradców inwestycyjnych zarządzających nim</w:t>
      </w:r>
      <w:r w:rsidR="007604E2">
        <w:rPr>
          <w:sz w:val="22"/>
        </w:rPr>
        <w:t xml:space="preserve"> - </w:t>
      </w:r>
      <w:r>
        <w:rPr>
          <w:sz w:val="22"/>
        </w:rPr>
        <w:t>mówi Tomasz Chróstny, Prezes UOKiK.</w:t>
      </w:r>
    </w:p>
    <w:p w14:paraId="1FD8CB19" w14:textId="77777777" w:rsidR="007077E7" w:rsidRPr="007077E7" w:rsidRDefault="007077E7" w:rsidP="00A11EC8">
      <w:pPr>
        <w:spacing w:after="240" w:line="360" w:lineRule="auto"/>
        <w:jc w:val="both"/>
        <w:rPr>
          <w:b/>
          <w:sz w:val="22"/>
        </w:rPr>
      </w:pPr>
      <w:r w:rsidRPr="007077E7">
        <w:rPr>
          <w:b/>
          <w:sz w:val="22"/>
        </w:rPr>
        <w:t>Rodzaje funduszy inwestycyjnych</w:t>
      </w:r>
    </w:p>
    <w:p w14:paraId="5AF449FC" w14:textId="77777777" w:rsidR="007077E7" w:rsidRDefault="00553F74" w:rsidP="00A11EC8">
      <w:pPr>
        <w:spacing w:after="240" w:line="360" w:lineRule="auto"/>
        <w:jc w:val="both"/>
        <w:rPr>
          <w:sz w:val="22"/>
        </w:rPr>
      </w:pPr>
      <w:r>
        <w:rPr>
          <w:sz w:val="22"/>
        </w:rPr>
        <w:t>Fundusze inwestycyjne są instrumentami</w:t>
      </w:r>
      <w:r w:rsidR="007077E7">
        <w:rPr>
          <w:sz w:val="22"/>
        </w:rPr>
        <w:t>,</w:t>
      </w:r>
      <w:r>
        <w:rPr>
          <w:sz w:val="22"/>
        </w:rPr>
        <w:t xml:space="preserve"> w ramach których </w:t>
      </w:r>
      <w:r w:rsidR="00063AD2">
        <w:rPr>
          <w:sz w:val="22"/>
        </w:rPr>
        <w:t>połączone środki indywidualnych inwestorów są wspólnie inwestowane</w:t>
      </w:r>
      <w:r w:rsidR="0003660A">
        <w:rPr>
          <w:sz w:val="22"/>
        </w:rPr>
        <w:t xml:space="preserve"> w różne instrumenty</w:t>
      </w:r>
      <w:r w:rsidR="00063AD2">
        <w:rPr>
          <w:sz w:val="22"/>
        </w:rPr>
        <w:t>.</w:t>
      </w:r>
      <w:r w:rsidR="0003660A">
        <w:rPr>
          <w:sz w:val="22"/>
        </w:rPr>
        <w:t xml:space="preserve"> Z założenia udział w </w:t>
      </w:r>
      <w:r w:rsidR="007077E7">
        <w:rPr>
          <w:sz w:val="22"/>
        </w:rPr>
        <w:t xml:space="preserve">takim </w:t>
      </w:r>
      <w:r w:rsidR="0003660A">
        <w:rPr>
          <w:sz w:val="22"/>
        </w:rPr>
        <w:t xml:space="preserve">funduszu umożliwia inwestorom w ramach jednego produktu skorzystanie z zasady dywersyfikacji lokat i instrumentów inwestycyjnych. </w:t>
      </w:r>
      <w:bookmarkStart w:id="0" w:name="mip58306782"/>
      <w:bookmarkStart w:id="1" w:name="mip58306783"/>
      <w:bookmarkStart w:id="2" w:name="mip58306784"/>
      <w:bookmarkEnd w:id="0"/>
      <w:bookmarkEnd w:id="1"/>
      <w:bookmarkEnd w:id="2"/>
      <w:r w:rsidR="007077E7">
        <w:rPr>
          <w:sz w:val="22"/>
        </w:rPr>
        <w:t>Ze względu na</w:t>
      </w:r>
      <w:r w:rsidR="0003660A">
        <w:rPr>
          <w:sz w:val="22"/>
        </w:rPr>
        <w:t xml:space="preserve"> polityk</w:t>
      </w:r>
      <w:r w:rsidR="007077E7">
        <w:rPr>
          <w:sz w:val="22"/>
        </w:rPr>
        <w:t>ę</w:t>
      </w:r>
      <w:r w:rsidR="0003660A">
        <w:rPr>
          <w:sz w:val="22"/>
        </w:rPr>
        <w:t xml:space="preserve"> inwestycyjn</w:t>
      </w:r>
      <w:r w:rsidR="007077E7">
        <w:rPr>
          <w:sz w:val="22"/>
        </w:rPr>
        <w:t>ą r</w:t>
      </w:r>
      <w:r w:rsidR="0003660A">
        <w:rPr>
          <w:sz w:val="22"/>
        </w:rPr>
        <w:t>ozróżnia się</w:t>
      </w:r>
      <w:r w:rsidR="007077E7">
        <w:rPr>
          <w:sz w:val="22"/>
        </w:rPr>
        <w:t>:</w:t>
      </w:r>
      <w:r w:rsidR="0003660A">
        <w:rPr>
          <w:sz w:val="22"/>
        </w:rPr>
        <w:t xml:space="preserve"> </w:t>
      </w:r>
    </w:p>
    <w:p w14:paraId="68C72275" w14:textId="77777777" w:rsidR="007077E7" w:rsidRDefault="0003660A" w:rsidP="007077E7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7077E7">
        <w:rPr>
          <w:sz w:val="22"/>
        </w:rPr>
        <w:lastRenderedPageBreak/>
        <w:t xml:space="preserve">fundusze z ochroną kapitału, inwestujące przede wszystkim w papiery wartościowe o stałym dochodzie, tj. bony skarbowe i obligacje skarbowe, </w:t>
      </w:r>
    </w:p>
    <w:p w14:paraId="3A81E182" w14:textId="77777777" w:rsidR="007077E7" w:rsidRDefault="0003660A" w:rsidP="007077E7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7077E7">
        <w:rPr>
          <w:sz w:val="22"/>
        </w:rPr>
        <w:t xml:space="preserve">fundusze zrównoważone charakteryzujące się </w:t>
      </w:r>
      <w:r w:rsidR="008158B4">
        <w:rPr>
          <w:sz w:val="22"/>
        </w:rPr>
        <w:t>mniej</w:t>
      </w:r>
      <w:r w:rsidR="00636691">
        <w:rPr>
          <w:sz w:val="22"/>
        </w:rPr>
        <w:t xml:space="preserve"> </w:t>
      </w:r>
      <w:r w:rsidR="008158B4">
        <w:rPr>
          <w:sz w:val="22"/>
        </w:rPr>
        <w:t>więcej równymi</w:t>
      </w:r>
      <w:r w:rsidR="008158B4" w:rsidRPr="007077E7">
        <w:rPr>
          <w:sz w:val="22"/>
        </w:rPr>
        <w:t xml:space="preserve"> </w:t>
      </w:r>
      <w:r w:rsidR="008158B4">
        <w:rPr>
          <w:sz w:val="22"/>
        </w:rPr>
        <w:t xml:space="preserve">udziałami </w:t>
      </w:r>
      <w:r w:rsidRPr="007077E7">
        <w:rPr>
          <w:sz w:val="22"/>
        </w:rPr>
        <w:t xml:space="preserve">akcji i obligacji w portfelu, </w:t>
      </w:r>
    </w:p>
    <w:p w14:paraId="23B50D7F" w14:textId="77777777" w:rsidR="0003660A" w:rsidRPr="007077E7" w:rsidRDefault="0003660A" w:rsidP="007077E7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7077E7">
        <w:rPr>
          <w:sz w:val="22"/>
        </w:rPr>
        <w:t>fundusze elastycznego inwestowania, które mogą w zależności od koniunktury na rynku finansowym,</w:t>
      </w:r>
      <w:r w:rsidR="00C968E4">
        <w:rPr>
          <w:sz w:val="22"/>
        </w:rPr>
        <w:t xml:space="preserve"> zmieniać</w:t>
      </w:r>
      <w:r w:rsidRPr="007077E7">
        <w:rPr>
          <w:sz w:val="22"/>
        </w:rPr>
        <w:t xml:space="preserve"> </w:t>
      </w:r>
      <w:r w:rsidR="00AF1D03">
        <w:rPr>
          <w:sz w:val="22"/>
        </w:rPr>
        <w:t xml:space="preserve">sposoby </w:t>
      </w:r>
      <w:r w:rsidR="00C968E4">
        <w:rPr>
          <w:sz w:val="22"/>
        </w:rPr>
        <w:t>inwestowania</w:t>
      </w:r>
      <w:r w:rsidRPr="007077E7">
        <w:rPr>
          <w:sz w:val="22"/>
        </w:rPr>
        <w:t xml:space="preserve"> środk</w:t>
      </w:r>
      <w:r w:rsidR="00C968E4">
        <w:rPr>
          <w:sz w:val="22"/>
        </w:rPr>
        <w:t>ów</w:t>
      </w:r>
      <w:r w:rsidRPr="007077E7">
        <w:rPr>
          <w:sz w:val="22"/>
        </w:rPr>
        <w:t xml:space="preserve"> pieniężn</w:t>
      </w:r>
      <w:r w:rsidR="00C968E4">
        <w:rPr>
          <w:sz w:val="22"/>
        </w:rPr>
        <w:t>ych</w:t>
      </w:r>
      <w:r w:rsidRPr="007077E7">
        <w:rPr>
          <w:sz w:val="22"/>
        </w:rPr>
        <w:t>. Należy również wymienić fundusze agresywne lokujące 100</w:t>
      </w:r>
      <w:r w:rsidR="00352764">
        <w:rPr>
          <w:sz w:val="22"/>
        </w:rPr>
        <w:t xml:space="preserve"> proc.</w:t>
      </w:r>
      <w:r w:rsidR="00352764" w:rsidRPr="007077E7">
        <w:rPr>
          <w:sz w:val="22"/>
        </w:rPr>
        <w:t xml:space="preserve"> </w:t>
      </w:r>
      <w:r w:rsidRPr="007077E7">
        <w:rPr>
          <w:sz w:val="22"/>
        </w:rPr>
        <w:t>aktywów w akcje</w:t>
      </w:r>
      <w:r w:rsidR="00C84E1F">
        <w:rPr>
          <w:sz w:val="22"/>
        </w:rPr>
        <w:t xml:space="preserve"> podmiotów rozpoczynających swoją przygodę z giełdą licząc na ich szybki potencjał wzrostu wartości</w:t>
      </w:r>
      <w:r w:rsidRPr="007077E7">
        <w:rPr>
          <w:sz w:val="22"/>
        </w:rPr>
        <w:t>.</w:t>
      </w:r>
    </w:p>
    <w:p w14:paraId="73D38FBC" w14:textId="77777777" w:rsidR="00F30267" w:rsidRPr="001D072C" w:rsidRDefault="00A75FC7" w:rsidP="00AD060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Zgodnie z ustawą </w:t>
      </w:r>
      <w:r w:rsidR="00AD0602" w:rsidRPr="00B17D21">
        <w:rPr>
          <w:sz w:val="22"/>
        </w:rPr>
        <w:t>o funduszach inwestycyjnych i zarządzaniu alternatywnymi funduszami inwestycyjnymi</w:t>
      </w:r>
      <w:r w:rsidR="00AD0602">
        <w:rPr>
          <w:sz w:val="22"/>
        </w:rPr>
        <w:t xml:space="preserve"> </w:t>
      </w:r>
      <w:r>
        <w:rPr>
          <w:sz w:val="22"/>
        </w:rPr>
        <w:t>r</w:t>
      </w:r>
      <w:r w:rsidR="00063AD2">
        <w:rPr>
          <w:sz w:val="22"/>
        </w:rPr>
        <w:t xml:space="preserve">ozróżniamy </w:t>
      </w:r>
      <w:r w:rsidR="00AD0602">
        <w:rPr>
          <w:sz w:val="22"/>
        </w:rPr>
        <w:t xml:space="preserve">też: </w:t>
      </w:r>
      <w:r w:rsidR="00A11EC8" w:rsidRPr="00AD0602">
        <w:rPr>
          <w:sz w:val="22"/>
        </w:rPr>
        <w:t>fundusz</w:t>
      </w:r>
      <w:r w:rsidR="005F5453" w:rsidRPr="00AD0602">
        <w:rPr>
          <w:sz w:val="22"/>
        </w:rPr>
        <w:t>e inwestycyjne</w:t>
      </w:r>
      <w:r w:rsidR="00A11EC8" w:rsidRPr="00AD0602">
        <w:rPr>
          <w:sz w:val="22"/>
        </w:rPr>
        <w:t xml:space="preserve"> ot</w:t>
      </w:r>
      <w:r w:rsidR="005F5453" w:rsidRPr="00AD0602">
        <w:rPr>
          <w:sz w:val="22"/>
        </w:rPr>
        <w:t>warte (FIO), specjalistyczne</w:t>
      </w:r>
      <w:r w:rsidRPr="00AD0602">
        <w:rPr>
          <w:sz w:val="22"/>
        </w:rPr>
        <w:t xml:space="preserve"> fundusze inwestycyjne</w:t>
      </w:r>
      <w:r w:rsidR="00A11EC8" w:rsidRPr="00AD0602">
        <w:rPr>
          <w:sz w:val="22"/>
        </w:rPr>
        <w:t xml:space="preserve"> otwarte</w:t>
      </w:r>
      <w:r w:rsidR="005F5453" w:rsidRPr="00AD0602">
        <w:rPr>
          <w:sz w:val="22"/>
        </w:rPr>
        <w:t xml:space="preserve"> (SFIO)</w:t>
      </w:r>
      <w:r w:rsidR="007E3BF8">
        <w:rPr>
          <w:sz w:val="22"/>
        </w:rPr>
        <w:t xml:space="preserve"> oraz</w:t>
      </w:r>
      <w:r w:rsidR="00A11EC8" w:rsidRPr="00AD0602">
        <w:rPr>
          <w:sz w:val="22"/>
        </w:rPr>
        <w:t xml:space="preserve"> fundusze inwestycyjne zamknięte</w:t>
      </w:r>
      <w:r w:rsidR="005F5453" w:rsidRPr="00AD0602">
        <w:rPr>
          <w:sz w:val="22"/>
        </w:rPr>
        <w:t xml:space="preserve"> (FIZ)</w:t>
      </w:r>
      <w:r w:rsidR="00A11EC8" w:rsidRPr="00AD0602">
        <w:rPr>
          <w:sz w:val="22"/>
        </w:rPr>
        <w:t>. Udział inwestorów</w:t>
      </w:r>
      <w:r w:rsidR="00DE79BB" w:rsidRPr="00AD0602">
        <w:rPr>
          <w:sz w:val="22"/>
        </w:rPr>
        <w:t xml:space="preserve"> w FIO i SFIO</w:t>
      </w:r>
      <w:r w:rsidR="00A11EC8" w:rsidRPr="00AD0602">
        <w:rPr>
          <w:sz w:val="22"/>
        </w:rPr>
        <w:t xml:space="preserve"> jest potwierdzany </w:t>
      </w:r>
      <w:r w:rsidR="00DE79BB" w:rsidRPr="00AD0602">
        <w:rPr>
          <w:sz w:val="22"/>
        </w:rPr>
        <w:t>przydzieleniem jednostek uczestnictwa. Natomiast w przypadku FIZ emitowane są certyfikaty inwestycyjne. Różnice w działaniu tych instrumentów wynikają m.in. z ich płynności, a więc łatwości uzyskania zwrotu wpłaconych środków</w:t>
      </w:r>
      <w:r w:rsidR="000D0BB5">
        <w:rPr>
          <w:sz w:val="22"/>
        </w:rPr>
        <w:t xml:space="preserve">. </w:t>
      </w:r>
      <w:r w:rsidR="005F5453" w:rsidRPr="00AD0602">
        <w:rPr>
          <w:sz w:val="22"/>
        </w:rPr>
        <w:t>Kwestie płynności funduszu wiążą się</w:t>
      </w:r>
      <w:r w:rsidR="00D1536D">
        <w:rPr>
          <w:sz w:val="22"/>
        </w:rPr>
        <w:t xml:space="preserve"> z</w:t>
      </w:r>
      <w:r w:rsidR="005F5453" w:rsidRPr="00AD0602">
        <w:rPr>
          <w:sz w:val="22"/>
        </w:rPr>
        <w:t xml:space="preserve"> ryzykiem braku możliwości dokonania </w:t>
      </w:r>
      <w:r w:rsidR="005F5453" w:rsidRPr="001D072C">
        <w:rPr>
          <w:sz w:val="22"/>
        </w:rPr>
        <w:t xml:space="preserve">wypłat </w:t>
      </w:r>
      <w:r w:rsidR="00EA0074" w:rsidRPr="001D072C">
        <w:rPr>
          <w:sz w:val="22"/>
        </w:rPr>
        <w:t>przed upływem określonego w umowie okresu.</w:t>
      </w:r>
    </w:p>
    <w:p w14:paraId="163E0DE5" w14:textId="77777777" w:rsidR="00AD0602" w:rsidRPr="00AD0602" w:rsidRDefault="00AD0602" w:rsidP="00AD0602">
      <w:pPr>
        <w:spacing w:after="240" w:line="360" w:lineRule="auto"/>
        <w:jc w:val="both"/>
        <w:rPr>
          <w:b/>
          <w:sz w:val="22"/>
        </w:rPr>
      </w:pPr>
      <w:r w:rsidRPr="00AD0602">
        <w:rPr>
          <w:b/>
          <w:sz w:val="22"/>
        </w:rPr>
        <w:t>Ryzyka</w:t>
      </w:r>
    </w:p>
    <w:p w14:paraId="65A7C190" w14:textId="77777777" w:rsidR="000D0BB5" w:rsidRDefault="00AD0602" w:rsidP="000D0BB5">
      <w:pPr>
        <w:spacing w:after="240" w:line="360" w:lineRule="auto"/>
        <w:jc w:val="both"/>
        <w:rPr>
          <w:sz w:val="22"/>
        </w:rPr>
      </w:pPr>
      <w:r>
        <w:rPr>
          <w:sz w:val="22"/>
        </w:rPr>
        <w:t>B</w:t>
      </w:r>
      <w:r w:rsidR="00A75FC7">
        <w:rPr>
          <w:sz w:val="22"/>
        </w:rPr>
        <w:t xml:space="preserve">ez względu na rodzaj funduszu inwestycyjnego wiążą się one z licznymi </w:t>
      </w:r>
      <w:proofErr w:type="spellStart"/>
      <w:r w:rsidR="00A75FC7">
        <w:rPr>
          <w:sz w:val="22"/>
        </w:rPr>
        <w:t>ryzykami</w:t>
      </w:r>
      <w:proofErr w:type="spellEnd"/>
      <w:r w:rsidR="00A75FC7">
        <w:rPr>
          <w:sz w:val="22"/>
        </w:rPr>
        <w:t xml:space="preserve">. </w:t>
      </w:r>
      <w:r w:rsidR="00C716C2">
        <w:rPr>
          <w:sz w:val="22"/>
        </w:rPr>
        <w:t>Przy</w:t>
      </w:r>
      <w:r w:rsidR="00A75FC7">
        <w:rPr>
          <w:sz w:val="22"/>
        </w:rPr>
        <w:t xml:space="preserve"> fundusz</w:t>
      </w:r>
      <w:r w:rsidR="00C716C2">
        <w:rPr>
          <w:sz w:val="22"/>
        </w:rPr>
        <w:t>ach</w:t>
      </w:r>
      <w:r w:rsidR="00A75FC7">
        <w:rPr>
          <w:sz w:val="22"/>
        </w:rPr>
        <w:t xml:space="preserve"> powiązanych z akcjami </w:t>
      </w:r>
      <w:r w:rsidR="00C716C2">
        <w:rPr>
          <w:sz w:val="22"/>
        </w:rPr>
        <w:t>występuje</w:t>
      </w:r>
      <w:r w:rsidR="00A75FC7">
        <w:rPr>
          <w:sz w:val="22"/>
        </w:rPr>
        <w:t xml:space="preserve"> ryzyk</w:t>
      </w:r>
      <w:r w:rsidR="00C716C2">
        <w:rPr>
          <w:sz w:val="22"/>
        </w:rPr>
        <w:t>o</w:t>
      </w:r>
      <w:r w:rsidR="00A75FC7">
        <w:rPr>
          <w:sz w:val="22"/>
        </w:rPr>
        <w:t xml:space="preserve"> </w:t>
      </w:r>
      <w:r w:rsidR="007E3BF8">
        <w:rPr>
          <w:sz w:val="22"/>
        </w:rPr>
        <w:t>spowodowane</w:t>
      </w:r>
      <w:r w:rsidR="00C716C2">
        <w:rPr>
          <w:sz w:val="22"/>
        </w:rPr>
        <w:t xml:space="preserve"> wycen</w:t>
      </w:r>
      <w:r w:rsidR="007E3BF8">
        <w:rPr>
          <w:sz w:val="22"/>
        </w:rPr>
        <w:t>ą</w:t>
      </w:r>
      <w:r w:rsidR="00C716C2">
        <w:rPr>
          <w:sz w:val="22"/>
        </w:rPr>
        <w:t xml:space="preserve"> wartości jednostek </w:t>
      </w:r>
      <w:r w:rsidR="00906795">
        <w:rPr>
          <w:sz w:val="22"/>
        </w:rPr>
        <w:t xml:space="preserve">lub certyfikatów w związku ze zmianami wartości portfeli akcji, które wynikają z </w:t>
      </w:r>
      <w:r>
        <w:rPr>
          <w:sz w:val="22"/>
        </w:rPr>
        <w:t xml:space="preserve">ich </w:t>
      </w:r>
      <w:r w:rsidR="00906795">
        <w:rPr>
          <w:sz w:val="22"/>
        </w:rPr>
        <w:t xml:space="preserve">notowań. Mogą one przynosić ponadprzeciętne wyniki w czasie hossy, </w:t>
      </w:r>
      <w:r w:rsidR="007E3BF8">
        <w:rPr>
          <w:sz w:val="22"/>
        </w:rPr>
        <w:t>ale</w:t>
      </w:r>
      <w:r w:rsidR="00906795">
        <w:rPr>
          <w:sz w:val="22"/>
        </w:rPr>
        <w:t xml:space="preserve"> mogą </w:t>
      </w:r>
      <w:r w:rsidR="007E3BF8">
        <w:rPr>
          <w:sz w:val="22"/>
        </w:rPr>
        <w:t xml:space="preserve">też </w:t>
      </w:r>
      <w:r w:rsidR="00906795">
        <w:rPr>
          <w:sz w:val="22"/>
        </w:rPr>
        <w:t xml:space="preserve">generować znaczne straty w czasie załamania rynku. </w:t>
      </w:r>
      <w:r w:rsidR="00F17CEA">
        <w:rPr>
          <w:sz w:val="22"/>
        </w:rPr>
        <w:t>To ostatnie</w:t>
      </w:r>
      <w:r w:rsidR="00906795">
        <w:rPr>
          <w:sz w:val="22"/>
        </w:rPr>
        <w:t xml:space="preserve"> może </w:t>
      </w:r>
      <w:r w:rsidR="00F17CEA">
        <w:rPr>
          <w:sz w:val="22"/>
        </w:rPr>
        <w:t xml:space="preserve">np. </w:t>
      </w:r>
      <w:r w:rsidR="00906795">
        <w:rPr>
          <w:sz w:val="22"/>
        </w:rPr>
        <w:t>wynikać z upad</w:t>
      </w:r>
      <w:r w:rsidR="007E3BF8">
        <w:rPr>
          <w:sz w:val="22"/>
        </w:rPr>
        <w:t>łości</w:t>
      </w:r>
      <w:r w:rsidR="00906795">
        <w:rPr>
          <w:sz w:val="22"/>
        </w:rPr>
        <w:t xml:space="preserve"> przedsiębiorc</w:t>
      </w:r>
      <w:r w:rsidR="008158B4">
        <w:rPr>
          <w:sz w:val="22"/>
        </w:rPr>
        <w:t>ów, których akcje lub obligacj</w:t>
      </w:r>
      <w:r w:rsidR="00636691">
        <w:rPr>
          <w:sz w:val="22"/>
        </w:rPr>
        <w:t>e</w:t>
      </w:r>
      <w:r w:rsidR="008158B4">
        <w:rPr>
          <w:sz w:val="22"/>
        </w:rPr>
        <w:t xml:space="preserve"> korporacyjne są istotnym składnikiem portfela inwestycyjnego funduszu</w:t>
      </w:r>
      <w:r w:rsidR="00906795">
        <w:rPr>
          <w:sz w:val="22"/>
        </w:rPr>
        <w:t>.</w:t>
      </w:r>
      <w:r w:rsidR="005F5453">
        <w:rPr>
          <w:sz w:val="22"/>
        </w:rPr>
        <w:t xml:space="preserve"> </w:t>
      </w:r>
    </w:p>
    <w:p w14:paraId="6FB99411" w14:textId="77777777" w:rsidR="00C84E1F" w:rsidRDefault="00C84E1F" w:rsidP="000D0BB5">
      <w:pPr>
        <w:spacing w:after="240" w:line="360" w:lineRule="auto"/>
        <w:jc w:val="both"/>
        <w:rPr>
          <w:b/>
          <w:bCs/>
          <w:sz w:val="22"/>
        </w:rPr>
      </w:pPr>
      <w:r w:rsidRPr="00C84E1F">
        <w:rPr>
          <w:b/>
          <w:bCs/>
          <w:sz w:val="22"/>
        </w:rPr>
        <w:t>Opłaty</w:t>
      </w:r>
    </w:p>
    <w:p w14:paraId="3D723973" w14:textId="77777777" w:rsidR="0092349E" w:rsidRPr="00214BFB" w:rsidRDefault="002A4C83" w:rsidP="0092349E">
      <w:pPr>
        <w:spacing w:after="240" w:line="360" w:lineRule="auto"/>
        <w:jc w:val="both"/>
        <w:rPr>
          <w:bCs/>
          <w:sz w:val="22"/>
        </w:rPr>
      </w:pPr>
      <w:r w:rsidRPr="00CC185A">
        <w:rPr>
          <w:bCs/>
          <w:sz w:val="22"/>
        </w:rPr>
        <w:t>Decydując się na inwestowanie w fundusze inwestycyjne należy li</w:t>
      </w:r>
      <w:r w:rsidR="00AF1D03" w:rsidRPr="00214BFB">
        <w:rPr>
          <w:bCs/>
          <w:sz w:val="22"/>
        </w:rPr>
        <w:t>czyć</w:t>
      </w:r>
      <w:r w:rsidRPr="00CC185A">
        <w:rPr>
          <w:bCs/>
          <w:sz w:val="22"/>
        </w:rPr>
        <w:t xml:space="preserve"> się z koniecznością poniesienia </w:t>
      </w:r>
      <w:r w:rsidR="00EC6A65" w:rsidRPr="00214BFB">
        <w:rPr>
          <w:bCs/>
          <w:sz w:val="22"/>
        </w:rPr>
        <w:t xml:space="preserve">określonych </w:t>
      </w:r>
      <w:r w:rsidRPr="00214BFB">
        <w:rPr>
          <w:bCs/>
          <w:sz w:val="22"/>
        </w:rPr>
        <w:t>opłat</w:t>
      </w:r>
      <w:r w:rsidR="00EC6A65" w:rsidRPr="00214BFB">
        <w:rPr>
          <w:bCs/>
          <w:sz w:val="22"/>
        </w:rPr>
        <w:t>, które</w:t>
      </w:r>
      <w:r w:rsidRPr="00CC185A">
        <w:rPr>
          <w:bCs/>
          <w:sz w:val="22"/>
        </w:rPr>
        <w:t xml:space="preserve"> </w:t>
      </w:r>
      <w:r w:rsidR="00EC6A65" w:rsidRPr="00214BFB">
        <w:rPr>
          <w:bCs/>
          <w:sz w:val="22"/>
        </w:rPr>
        <w:t xml:space="preserve">mają pokryć </w:t>
      </w:r>
      <w:r w:rsidR="00C968E4" w:rsidRPr="00214BFB">
        <w:rPr>
          <w:bCs/>
          <w:sz w:val="22"/>
        </w:rPr>
        <w:t>koszt</w:t>
      </w:r>
      <w:r w:rsidR="00EC6A65" w:rsidRPr="00214BFB">
        <w:rPr>
          <w:bCs/>
          <w:sz w:val="22"/>
        </w:rPr>
        <w:t xml:space="preserve">y </w:t>
      </w:r>
      <w:r w:rsidR="00C968E4" w:rsidRPr="00214BFB">
        <w:rPr>
          <w:bCs/>
          <w:sz w:val="22"/>
        </w:rPr>
        <w:t xml:space="preserve">działalności </w:t>
      </w:r>
      <w:r w:rsidR="00AF1D03" w:rsidRPr="00214BFB">
        <w:rPr>
          <w:bCs/>
          <w:sz w:val="22"/>
        </w:rPr>
        <w:t>TFI</w:t>
      </w:r>
      <w:r w:rsidR="00C968E4" w:rsidRPr="00214BFB">
        <w:rPr>
          <w:bCs/>
          <w:sz w:val="22"/>
        </w:rPr>
        <w:t xml:space="preserve">. </w:t>
      </w:r>
      <w:r w:rsidRPr="00214BFB">
        <w:rPr>
          <w:bCs/>
          <w:sz w:val="22"/>
        </w:rPr>
        <w:t>Opłaty</w:t>
      </w:r>
      <w:r w:rsidR="00EC6A65" w:rsidRPr="00214BFB">
        <w:rPr>
          <w:bCs/>
          <w:sz w:val="22"/>
        </w:rPr>
        <w:t xml:space="preserve"> są pobierane w różnych momentach</w:t>
      </w:r>
      <w:r w:rsidR="00C76FC9" w:rsidRPr="00214BFB">
        <w:rPr>
          <w:bCs/>
          <w:sz w:val="22"/>
        </w:rPr>
        <w:t xml:space="preserve"> realizacji umów.</w:t>
      </w:r>
      <w:r w:rsidR="00EC6A65" w:rsidRPr="00214BFB">
        <w:rPr>
          <w:bCs/>
          <w:sz w:val="22"/>
        </w:rPr>
        <w:t xml:space="preserve"> </w:t>
      </w:r>
      <w:r w:rsidR="00531A6E" w:rsidRPr="00214BFB">
        <w:rPr>
          <w:bCs/>
          <w:sz w:val="22"/>
        </w:rPr>
        <w:t>M</w:t>
      </w:r>
      <w:r w:rsidR="00C76FC9" w:rsidRPr="00214BFB">
        <w:rPr>
          <w:bCs/>
          <w:sz w:val="22"/>
        </w:rPr>
        <w:t xml:space="preserve">ogą </w:t>
      </w:r>
      <w:r w:rsidRPr="00214BFB">
        <w:rPr>
          <w:bCs/>
          <w:sz w:val="22"/>
        </w:rPr>
        <w:t>one</w:t>
      </w:r>
      <w:r w:rsidR="00531A6E" w:rsidRPr="00214BFB">
        <w:rPr>
          <w:bCs/>
          <w:sz w:val="22"/>
        </w:rPr>
        <w:t xml:space="preserve"> </w:t>
      </w:r>
      <w:r w:rsidR="00C76FC9" w:rsidRPr="00214BFB">
        <w:rPr>
          <w:bCs/>
          <w:sz w:val="22"/>
        </w:rPr>
        <w:t>być pobierane stale w trakcie realizacji umowy, jak też</w:t>
      </w:r>
      <w:r w:rsidR="004A090A" w:rsidRPr="00214BFB">
        <w:rPr>
          <w:bCs/>
          <w:sz w:val="22"/>
        </w:rPr>
        <w:t xml:space="preserve"> jednorazowo w zależności </w:t>
      </w:r>
      <w:r w:rsidR="00AF1D03" w:rsidRPr="00214BFB">
        <w:rPr>
          <w:bCs/>
          <w:sz w:val="22"/>
        </w:rPr>
        <w:t>od</w:t>
      </w:r>
      <w:r w:rsidR="004A090A" w:rsidRPr="00214BFB">
        <w:rPr>
          <w:bCs/>
          <w:sz w:val="22"/>
        </w:rPr>
        <w:t xml:space="preserve"> </w:t>
      </w:r>
      <w:r w:rsidR="00AF1D03" w:rsidRPr="00214BFB">
        <w:rPr>
          <w:bCs/>
          <w:sz w:val="22"/>
        </w:rPr>
        <w:t>dokonanych operacji</w:t>
      </w:r>
      <w:r w:rsidR="00C76FC9" w:rsidRPr="00214BFB">
        <w:rPr>
          <w:bCs/>
          <w:sz w:val="22"/>
        </w:rPr>
        <w:t xml:space="preserve">. </w:t>
      </w:r>
      <w:r w:rsidR="0092349E" w:rsidRPr="00214BFB">
        <w:rPr>
          <w:bCs/>
          <w:sz w:val="22"/>
        </w:rPr>
        <w:t xml:space="preserve">Koszt działalności </w:t>
      </w:r>
      <w:r w:rsidR="00AF1D03" w:rsidRPr="00214BFB">
        <w:rPr>
          <w:bCs/>
          <w:sz w:val="22"/>
        </w:rPr>
        <w:t>TFI</w:t>
      </w:r>
      <w:r w:rsidR="0092349E" w:rsidRPr="00214BFB">
        <w:rPr>
          <w:bCs/>
          <w:sz w:val="22"/>
        </w:rPr>
        <w:t xml:space="preserve"> pokrywany jest stałą opłatą</w:t>
      </w:r>
      <w:r w:rsidR="00C76FC9" w:rsidRPr="00214BFB">
        <w:rPr>
          <w:bCs/>
          <w:sz w:val="22"/>
        </w:rPr>
        <w:t xml:space="preserve"> za zarządzanie</w:t>
      </w:r>
      <w:r w:rsidR="0092349E" w:rsidRPr="00214BFB">
        <w:rPr>
          <w:bCs/>
          <w:sz w:val="22"/>
        </w:rPr>
        <w:t xml:space="preserve">. </w:t>
      </w:r>
      <w:r w:rsidR="00AF1D03" w:rsidRPr="00214BFB">
        <w:rPr>
          <w:bCs/>
          <w:sz w:val="22"/>
        </w:rPr>
        <w:t xml:space="preserve">Natomiast </w:t>
      </w:r>
      <w:r w:rsidRPr="00214BFB">
        <w:rPr>
          <w:bCs/>
          <w:sz w:val="22"/>
        </w:rPr>
        <w:t>opłaty</w:t>
      </w:r>
      <w:r w:rsidR="0092349E" w:rsidRPr="00214BFB">
        <w:rPr>
          <w:bCs/>
          <w:sz w:val="22"/>
        </w:rPr>
        <w:t xml:space="preserve"> dystrybucyjn</w:t>
      </w:r>
      <w:r w:rsidR="00EC6A65" w:rsidRPr="00214BFB">
        <w:rPr>
          <w:bCs/>
          <w:sz w:val="22"/>
        </w:rPr>
        <w:t>e</w:t>
      </w:r>
      <w:r w:rsidR="0092349E" w:rsidRPr="00214BFB">
        <w:rPr>
          <w:bCs/>
          <w:sz w:val="22"/>
        </w:rPr>
        <w:t xml:space="preserve"> </w:t>
      </w:r>
      <w:r w:rsidR="0092349E" w:rsidRPr="00214BFB">
        <w:rPr>
          <w:bCs/>
          <w:sz w:val="22"/>
        </w:rPr>
        <w:lastRenderedPageBreak/>
        <w:t>oraz umorzeniow</w:t>
      </w:r>
      <w:r w:rsidR="00EC6A65" w:rsidRPr="00214BFB">
        <w:rPr>
          <w:bCs/>
          <w:sz w:val="22"/>
        </w:rPr>
        <w:t>e</w:t>
      </w:r>
      <w:r w:rsidR="0092349E" w:rsidRPr="00214BFB">
        <w:rPr>
          <w:bCs/>
          <w:sz w:val="22"/>
        </w:rPr>
        <w:t xml:space="preserve"> są pobierane jako procent od </w:t>
      </w:r>
      <w:r w:rsidR="004A090A" w:rsidRPr="00214BFB">
        <w:rPr>
          <w:bCs/>
          <w:sz w:val="22"/>
        </w:rPr>
        <w:t xml:space="preserve">każdej </w:t>
      </w:r>
      <w:r w:rsidR="0092349E" w:rsidRPr="00214BFB">
        <w:rPr>
          <w:bCs/>
          <w:sz w:val="22"/>
        </w:rPr>
        <w:t>wpłacan</w:t>
      </w:r>
      <w:r w:rsidR="004A090A" w:rsidRPr="00214BFB">
        <w:rPr>
          <w:bCs/>
          <w:sz w:val="22"/>
        </w:rPr>
        <w:t>ej</w:t>
      </w:r>
      <w:r w:rsidR="0092349E" w:rsidRPr="00214BFB">
        <w:rPr>
          <w:bCs/>
          <w:sz w:val="22"/>
        </w:rPr>
        <w:t xml:space="preserve"> </w:t>
      </w:r>
      <w:r w:rsidR="00EC6A65" w:rsidRPr="00214BFB">
        <w:rPr>
          <w:bCs/>
          <w:sz w:val="22"/>
        </w:rPr>
        <w:t>lub wypłacanej</w:t>
      </w:r>
      <w:r w:rsidR="0092349E" w:rsidRPr="00214BFB">
        <w:rPr>
          <w:bCs/>
          <w:sz w:val="22"/>
        </w:rPr>
        <w:t xml:space="preserve"> kwot</w:t>
      </w:r>
      <w:r w:rsidR="00EC6A65" w:rsidRPr="00214BFB">
        <w:rPr>
          <w:bCs/>
          <w:sz w:val="22"/>
        </w:rPr>
        <w:t>y</w:t>
      </w:r>
      <w:r w:rsidR="0092349E" w:rsidRPr="00214BFB">
        <w:rPr>
          <w:bCs/>
          <w:sz w:val="22"/>
        </w:rPr>
        <w:t xml:space="preserve">. Dodatkowo mogą być pobierane inne </w:t>
      </w:r>
      <w:r w:rsidRPr="00214BFB">
        <w:rPr>
          <w:bCs/>
          <w:sz w:val="22"/>
        </w:rPr>
        <w:t>należności</w:t>
      </w:r>
      <w:r w:rsidR="0092349E" w:rsidRPr="00214BFB">
        <w:rPr>
          <w:bCs/>
          <w:sz w:val="22"/>
        </w:rPr>
        <w:t>, np.</w:t>
      </w:r>
      <w:r w:rsidR="00AF1D03" w:rsidRPr="00214BFB">
        <w:rPr>
          <w:bCs/>
          <w:sz w:val="22"/>
        </w:rPr>
        <w:t xml:space="preserve"> </w:t>
      </w:r>
      <w:r w:rsidR="00EC6A65" w:rsidRPr="00214BFB">
        <w:rPr>
          <w:bCs/>
          <w:sz w:val="22"/>
        </w:rPr>
        <w:t>z tytułu zamiany lub konwersji, które</w:t>
      </w:r>
      <w:r w:rsidR="0092349E" w:rsidRPr="00214BFB">
        <w:rPr>
          <w:bCs/>
          <w:sz w:val="22"/>
        </w:rPr>
        <w:t xml:space="preserve"> </w:t>
      </w:r>
      <w:r w:rsidR="00EC6A65" w:rsidRPr="00214BFB">
        <w:rPr>
          <w:bCs/>
          <w:sz w:val="22"/>
        </w:rPr>
        <w:t>mają</w:t>
      </w:r>
      <w:r w:rsidR="0092349E" w:rsidRPr="00214BFB">
        <w:rPr>
          <w:bCs/>
          <w:sz w:val="22"/>
        </w:rPr>
        <w:t xml:space="preserve"> pokryć koszty zamiany lub konwersji pomiędzy subfunduszami. Towarzystwa przewidują również </w:t>
      </w:r>
      <w:r w:rsidR="00DD760B" w:rsidRPr="00214BFB">
        <w:rPr>
          <w:bCs/>
          <w:sz w:val="22"/>
        </w:rPr>
        <w:t xml:space="preserve">własne </w:t>
      </w:r>
      <w:r w:rsidRPr="00214BFB">
        <w:rPr>
          <w:bCs/>
          <w:sz w:val="22"/>
        </w:rPr>
        <w:t>prowizje</w:t>
      </w:r>
      <w:r w:rsidR="0092349E" w:rsidRPr="00214BFB">
        <w:rPr>
          <w:bCs/>
          <w:sz w:val="22"/>
        </w:rPr>
        <w:t xml:space="preserve"> od sukcesu tzw. </w:t>
      </w:r>
      <w:proofErr w:type="spellStart"/>
      <w:r w:rsidR="0092349E" w:rsidRPr="00214BFB">
        <w:rPr>
          <w:bCs/>
          <w:sz w:val="22"/>
        </w:rPr>
        <w:t>success</w:t>
      </w:r>
      <w:proofErr w:type="spellEnd"/>
      <w:r w:rsidR="0092349E" w:rsidRPr="00214BFB">
        <w:rPr>
          <w:bCs/>
          <w:sz w:val="22"/>
        </w:rPr>
        <w:t xml:space="preserve"> </w:t>
      </w:r>
      <w:proofErr w:type="spellStart"/>
      <w:r w:rsidR="0092349E" w:rsidRPr="00214BFB">
        <w:rPr>
          <w:bCs/>
          <w:sz w:val="22"/>
        </w:rPr>
        <w:t>fee</w:t>
      </w:r>
      <w:proofErr w:type="spellEnd"/>
      <w:r w:rsidR="0092349E" w:rsidRPr="00214BFB">
        <w:rPr>
          <w:bCs/>
          <w:sz w:val="22"/>
        </w:rPr>
        <w:t xml:space="preserve"> uzależn</w:t>
      </w:r>
      <w:r w:rsidR="00EC6A65" w:rsidRPr="00214BFB">
        <w:rPr>
          <w:bCs/>
          <w:sz w:val="22"/>
        </w:rPr>
        <w:t>ione od wzrostu wartości aktywów, które mogą być kalkulowane na różne sposoby</w:t>
      </w:r>
      <w:r w:rsidR="0092349E" w:rsidRPr="00214BFB">
        <w:rPr>
          <w:bCs/>
          <w:sz w:val="22"/>
        </w:rPr>
        <w:t xml:space="preserve">. </w:t>
      </w:r>
    </w:p>
    <w:p w14:paraId="6212D28F" w14:textId="77777777" w:rsidR="00C968E4" w:rsidRDefault="0092349E" w:rsidP="000D0BB5">
      <w:pPr>
        <w:spacing w:after="240" w:line="360" w:lineRule="auto"/>
        <w:jc w:val="both"/>
        <w:rPr>
          <w:bCs/>
          <w:sz w:val="22"/>
        </w:rPr>
      </w:pPr>
      <w:r w:rsidRPr="00214BFB">
        <w:rPr>
          <w:bCs/>
          <w:sz w:val="22"/>
        </w:rPr>
        <w:t xml:space="preserve">Biorąc pod uwagę różnorodność </w:t>
      </w:r>
      <w:r w:rsidR="002A4C83" w:rsidRPr="00214BFB">
        <w:rPr>
          <w:bCs/>
          <w:sz w:val="22"/>
        </w:rPr>
        <w:t>opłat</w:t>
      </w:r>
      <w:r w:rsidR="00DD760B" w:rsidRPr="00214BFB">
        <w:rPr>
          <w:bCs/>
          <w:sz w:val="22"/>
        </w:rPr>
        <w:t xml:space="preserve"> manipulacyjnych</w:t>
      </w:r>
      <w:r w:rsidRPr="00214BFB">
        <w:rPr>
          <w:bCs/>
          <w:sz w:val="22"/>
        </w:rPr>
        <w:t xml:space="preserve">, </w:t>
      </w:r>
      <w:r w:rsidR="00DD760B" w:rsidRPr="00214BFB">
        <w:rPr>
          <w:bCs/>
          <w:sz w:val="22"/>
        </w:rPr>
        <w:t>wysokość prowizji i wszelkich innych należności</w:t>
      </w:r>
      <w:r w:rsidRPr="00214BFB">
        <w:rPr>
          <w:bCs/>
          <w:sz w:val="22"/>
        </w:rPr>
        <w:t xml:space="preserve">, a także różnorodność nazw jakimi są one określane, przed zawarciem umowy należy uważnie zapoznać się z informacjami udostępnianymi przez dystrybutorów oraz na stronach internetowych </w:t>
      </w:r>
      <w:r w:rsidR="008B0347" w:rsidRPr="00214BFB">
        <w:rPr>
          <w:bCs/>
          <w:sz w:val="22"/>
        </w:rPr>
        <w:t>TFI</w:t>
      </w:r>
      <w:r w:rsidR="00531A6E" w:rsidRPr="00214BFB">
        <w:rPr>
          <w:bCs/>
          <w:sz w:val="22"/>
        </w:rPr>
        <w:t>.</w:t>
      </w:r>
      <w:r w:rsidR="00DD760B" w:rsidRPr="00214BFB">
        <w:rPr>
          <w:bCs/>
          <w:sz w:val="22"/>
        </w:rPr>
        <w:t xml:space="preserve"> Należy zweryfikować sposób wyliczenia wartości środków pieniężnych, które zostaną wypłacone w momencie wycofania środków z funduszu inwestycyjnego przed każdą decyzją inwestycyjną.</w:t>
      </w:r>
    </w:p>
    <w:p w14:paraId="0724935E" w14:textId="77777777" w:rsidR="00CC185A" w:rsidRPr="00CC185A" w:rsidRDefault="00CC185A" w:rsidP="00CC185A">
      <w:pPr>
        <w:spacing w:after="240" w:line="360" w:lineRule="auto"/>
        <w:jc w:val="both"/>
        <w:rPr>
          <w:b/>
          <w:bCs/>
          <w:sz w:val="22"/>
        </w:rPr>
      </w:pPr>
      <w:proofErr w:type="spellStart"/>
      <w:r w:rsidRPr="00CC185A">
        <w:rPr>
          <w:b/>
          <w:bCs/>
          <w:sz w:val="22"/>
        </w:rPr>
        <w:t>Window</w:t>
      </w:r>
      <w:proofErr w:type="spellEnd"/>
      <w:r w:rsidRPr="00CC185A">
        <w:rPr>
          <w:b/>
          <w:bCs/>
          <w:sz w:val="22"/>
        </w:rPr>
        <w:t xml:space="preserve"> dressing – bądź czujny</w:t>
      </w:r>
    </w:p>
    <w:p w14:paraId="21362157" w14:textId="6A5B5F4E" w:rsidR="00CC185A" w:rsidRPr="00CC185A" w:rsidRDefault="00CC185A" w:rsidP="00CC185A">
      <w:pPr>
        <w:spacing w:after="240" w:line="360" w:lineRule="auto"/>
        <w:jc w:val="both"/>
        <w:rPr>
          <w:b/>
          <w:bCs/>
          <w:sz w:val="22"/>
        </w:rPr>
      </w:pPr>
      <w:r w:rsidRPr="00CC185A">
        <w:rPr>
          <w:bCs/>
          <w:sz w:val="22"/>
        </w:rPr>
        <w:t xml:space="preserve">Inwestor powinien być szczególnie uczulony na komunikaty zarządzających funduszami inwestycyjnymi mówiącymi o wyjątkowych zyskach „w ostatnim okresie” (zazwyczaj krótkim, np. trzech miesięcy) szczególnie, jeśli sam fundusz inwestycyjny jest jeszcze małym podmiotem pod względem zarządzanych aktywów i działa na rynku od niedawna. Zarządzający funduszami stosują niekiedy odmianę praktyki zwanej </w:t>
      </w:r>
      <w:proofErr w:type="spellStart"/>
      <w:r w:rsidRPr="00CC185A">
        <w:rPr>
          <w:bCs/>
          <w:i/>
          <w:sz w:val="22"/>
        </w:rPr>
        <w:t>window</w:t>
      </w:r>
      <w:proofErr w:type="spellEnd"/>
      <w:r w:rsidRPr="00CC185A">
        <w:rPr>
          <w:bCs/>
          <w:i/>
          <w:sz w:val="22"/>
        </w:rPr>
        <w:t xml:space="preserve"> dressing</w:t>
      </w:r>
      <w:r w:rsidRPr="00CC185A">
        <w:rPr>
          <w:bCs/>
          <w:sz w:val="22"/>
        </w:rPr>
        <w:t xml:space="preserve"> (dekorowania okna), która polega na wykazaniu krótkoterminowych</w:t>
      </w:r>
      <w:r w:rsidR="00A375D5">
        <w:rPr>
          <w:bCs/>
          <w:sz w:val="22"/>
        </w:rPr>
        <w:t>,</w:t>
      </w:r>
      <w:r w:rsidRPr="00CC185A">
        <w:rPr>
          <w:bCs/>
          <w:sz w:val="22"/>
        </w:rPr>
        <w:t xml:space="preserve"> wyjątkowo wysokich</w:t>
      </w:r>
      <w:r w:rsidR="00A375D5">
        <w:rPr>
          <w:bCs/>
          <w:sz w:val="22"/>
        </w:rPr>
        <w:t>,</w:t>
      </w:r>
      <w:r w:rsidRPr="00CC185A">
        <w:rPr>
          <w:bCs/>
          <w:sz w:val="22"/>
        </w:rPr>
        <w:t xml:space="preserve"> zysków </w:t>
      </w:r>
      <w:r w:rsidR="00A375D5">
        <w:rPr>
          <w:bCs/>
          <w:sz w:val="22"/>
        </w:rPr>
        <w:t>a</w:t>
      </w:r>
      <w:r w:rsidRPr="00CC185A">
        <w:rPr>
          <w:bCs/>
          <w:sz w:val="22"/>
        </w:rPr>
        <w:t xml:space="preserve">by zwabić inwestorów, nie zaznaczając jednak, że utrzymanie takiego poziomu rentowności w długim okresie jest w praktyce niemożliwe. Praktyka taka jest możliwa dzięki operacjom finansowym, które są w stanie wykazać znaczący zysk w wybranym okienku czasowym, choć jednocześnie ukrywają odroczone straty, które ten zysk </w:t>
      </w:r>
      <w:r w:rsidR="00A375D5">
        <w:rPr>
          <w:bCs/>
          <w:sz w:val="22"/>
        </w:rPr>
        <w:t>w niedalekiej przyszłości</w:t>
      </w:r>
      <w:r w:rsidRPr="00CC185A">
        <w:rPr>
          <w:bCs/>
          <w:sz w:val="22"/>
        </w:rPr>
        <w:t xml:space="preserve"> zniwelują. Jest to szczególnie łatwe i efektowne, gdy fundusz zarządza </w:t>
      </w:r>
      <w:r w:rsidR="00A375D5">
        <w:rPr>
          <w:bCs/>
          <w:sz w:val="22"/>
        </w:rPr>
        <w:t xml:space="preserve">stosunkowo niewielkimi </w:t>
      </w:r>
      <w:r w:rsidRPr="00CC185A">
        <w:rPr>
          <w:bCs/>
          <w:sz w:val="22"/>
        </w:rPr>
        <w:t xml:space="preserve">środkami, </w:t>
      </w:r>
      <w:r w:rsidR="00A375D5">
        <w:rPr>
          <w:bCs/>
          <w:sz w:val="22"/>
        </w:rPr>
        <w:t>a zatem</w:t>
      </w:r>
      <w:r w:rsidRPr="00CC185A">
        <w:rPr>
          <w:bCs/>
          <w:sz w:val="22"/>
        </w:rPr>
        <w:t xml:space="preserve"> na początku jego działalności. </w:t>
      </w:r>
    </w:p>
    <w:p w14:paraId="34A9D62E" w14:textId="77777777" w:rsidR="00F17CEA" w:rsidRPr="00F17CEA" w:rsidRDefault="00F17CEA" w:rsidP="000D0BB5">
      <w:pPr>
        <w:spacing w:after="240" w:line="360" w:lineRule="auto"/>
        <w:jc w:val="both"/>
        <w:rPr>
          <w:b/>
          <w:sz w:val="22"/>
        </w:rPr>
      </w:pPr>
      <w:r w:rsidRPr="00F17CEA">
        <w:rPr>
          <w:b/>
          <w:sz w:val="22"/>
        </w:rPr>
        <w:t>Zanim zainwestujesz</w:t>
      </w:r>
      <w:r>
        <w:rPr>
          <w:b/>
          <w:sz w:val="22"/>
        </w:rPr>
        <w:t xml:space="preserve"> w fundusze inwestycyjne</w:t>
      </w:r>
      <w:r w:rsidRPr="00F17CEA">
        <w:rPr>
          <w:b/>
          <w:sz w:val="22"/>
        </w:rPr>
        <w:t>…</w:t>
      </w:r>
    </w:p>
    <w:p w14:paraId="728A78CD" w14:textId="77777777" w:rsidR="00F17CEA" w:rsidRPr="00F17CEA" w:rsidRDefault="00F17CEA" w:rsidP="00F17CEA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 w:rsidRPr="00F17CEA">
        <w:rPr>
          <w:b/>
          <w:sz w:val="22"/>
        </w:rPr>
        <w:t>Zgromadź informacj</w:t>
      </w:r>
      <w:r w:rsidR="00615242">
        <w:rPr>
          <w:b/>
          <w:sz w:val="22"/>
        </w:rPr>
        <w:t>e</w:t>
      </w:r>
      <w:r w:rsidRPr="00F17CEA">
        <w:rPr>
          <w:b/>
          <w:sz w:val="22"/>
        </w:rPr>
        <w:t xml:space="preserve"> o ofercie</w:t>
      </w:r>
      <w:r>
        <w:rPr>
          <w:b/>
          <w:sz w:val="22"/>
        </w:rPr>
        <w:t xml:space="preserve"> i dokładnie je przeanalizuj</w:t>
      </w:r>
    </w:p>
    <w:p w14:paraId="4549455C" w14:textId="77777777" w:rsidR="00222492" w:rsidRPr="00B17D21" w:rsidRDefault="009B6CB3" w:rsidP="00222492">
      <w:pPr>
        <w:spacing w:after="240" w:line="360" w:lineRule="auto"/>
        <w:jc w:val="both"/>
        <w:rPr>
          <w:sz w:val="22"/>
        </w:rPr>
      </w:pPr>
      <w:r w:rsidRPr="00B17D21">
        <w:rPr>
          <w:sz w:val="22"/>
        </w:rPr>
        <w:t xml:space="preserve">Dostarczone przez sprzedawców materiały powinny zapewnić podstawową wiedzę o charakterze inwestycji, wiążących się z nią ryzykach, kosztach i zabezpieczeniach. Informacje te </w:t>
      </w:r>
      <w:r w:rsidR="00222492">
        <w:rPr>
          <w:sz w:val="22"/>
        </w:rPr>
        <w:t>znajdziesz</w:t>
      </w:r>
      <w:r w:rsidRPr="00B17D21">
        <w:rPr>
          <w:sz w:val="22"/>
        </w:rPr>
        <w:t xml:space="preserve"> </w:t>
      </w:r>
      <w:r w:rsidR="005573F4">
        <w:rPr>
          <w:sz w:val="22"/>
        </w:rPr>
        <w:t xml:space="preserve">m.in. </w:t>
      </w:r>
      <w:r w:rsidRPr="00B17D21">
        <w:rPr>
          <w:sz w:val="22"/>
        </w:rPr>
        <w:t>w prospektach emisyjnych</w:t>
      </w:r>
      <w:r w:rsidR="00F17CEA">
        <w:rPr>
          <w:sz w:val="22"/>
        </w:rPr>
        <w:t xml:space="preserve"> a także w ich statutach</w:t>
      </w:r>
      <w:r w:rsidRPr="00B17D21">
        <w:rPr>
          <w:sz w:val="22"/>
        </w:rPr>
        <w:t xml:space="preserve"> czy też kluczowych informacjach dla inwestorów. Zapoznając się z treściami dokumentów, </w:t>
      </w:r>
      <w:r w:rsidRPr="00B17D21">
        <w:rPr>
          <w:sz w:val="22"/>
        </w:rPr>
        <w:lastRenderedPageBreak/>
        <w:t>zweryfik</w:t>
      </w:r>
      <w:r w:rsidR="00222492">
        <w:rPr>
          <w:sz w:val="22"/>
        </w:rPr>
        <w:t>uj</w:t>
      </w:r>
      <w:r w:rsidRPr="00B17D21">
        <w:rPr>
          <w:sz w:val="22"/>
        </w:rPr>
        <w:t xml:space="preserve">, czy </w:t>
      </w:r>
      <w:r w:rsidR="00222492">
        <w:rPr>
          <w:sz w:val="22"/>
        </w:rPr>
        <w:t xml:space="preserve">otrzymałeś </w:t>
      </w:r>
      <w:r w:rsidRPr="00B17D21">
        <w:rPr>
          <w:sz w:val="22"/>
        </w:rPr>
        <w:t xml:space="preserve">wymienione w nich załączniki. </w:t>
      </w:r>
      <w:r w:rsidR="00222492">
        <w:rPr>
          <w:sz w:val="22"/>
        </w:rPr>
        <w:t>Domagaj się od sprzedawcy udostępnienia kom</w:t>
      </w:r>
      <w:r w:rsidRPr="00B17D21">
        <w:rPr>
          <w:sz w:val="22"/>
        </w:rPr>
        <w:t>pletn</w:t>
      </w:r>
      <w:r w:rsidR="00222492">
        <w:rPr>
          <w:sz w:val="22"/>
        </w:rPr>
        <w:t>ych</w:t>
      </w:r>
      <w:r w:rsidRPr="00B17D21">
        <w:rPr>
          <w:sz w:val="22"/>
        </w:rPr>
        <w:t xml:space="preserve"> dokument</w:t>
      </w:r>
      <w:r w:rsidR="00222492">
        <w:rPr>
          <w:sz w:val="22"/>
        </w:rPr>
        <w:t>ów przed podpisaniem umowy</w:t>
      </w:r>
      <w:r w:rsidRPr="00B17D21">
        <w:rPr>
          <w:sz w:val="22"/>
        </w:rPr>
        <w:t>. Ma</w:t>
      </w:r>
      <w:r w:rsidR="00222492">
        <w:rPr>
          <w:sz w:val="22"/>
        </w:rPr>
        <w:t>sz</w:t>
      </w:r>
      <w:r w:rsidRPr="00B17D21">
        <w:rPr>
          <w:sz w:val="22"/>
        </w:rPr>
        <w:t xml:space="preserve"> prawo zabra</w:t>
      </w:r>
      <w:r w:rsidR="00222492">
        <w:rPr>
          <w:sz w:val="22"/>
        </w:rPr>
        <w:t>ć</w:t>
      </w:r>
      <w:r w:rsidRPr="00B17D21">
        <w:rPr>
          <w:sz w:val="22"/>
        </w:rPr>
        <w:t xml:space="preserve"> </w:t>
      </w:r>
      <w:r w:rsidR="00222492">
        <w:rPr>
          <w:sz w:val="22"/>
        </w:rPr>
        <w:t xml:space="preserve">je </w:t>
      </w:r>
      <w:r w:rsidRPr="00B17D21">
        <w:rPr>
          <w:sz w:val="22"/>
        </w:rPr>
        <w:t>do domu i zapozna</w:t>
      </w:r>
      <w:r w:rsidR="00222492">
        <w:rPr>
          <w:sz w:val="22"/>
        </w:rPr>
        <w:t>ć</w:t>
      </w:r>
      <w:r w:rsidRPr="00B17D21">
        <w:rPr>
          <w:sz w:val="22"/>
        </w:rPr>
        <w:t xml:space="preserve"> się z nimi. </w:t>
      </w:r>
      <w:r w:rsidR="00222492" w:rsidRPr="00B17D21">
        <w:rPr>
          <w:sz w:val="22"/>
        </w:rPr>
        <w:t xml:space="preserve">Tylko </w:t>
      </w:r>
      <w:r w:rsidR="00222492">
        <w:rPr>
          <w:sz w:val="22"/>
        </w:rPr>
        <w:t>dokładna ich analiza</w:t>
      </w:r>
      <w:r w:rsidR="00222492" w:rsidRPr="00B17D21">
        <w:rPr>
          <w:sz w:val="22"/>
        </w:rPr>
        <w:t xml:space="preserve">, może ochronić </w:t>
      </w:r>
      <w:r w:rsidR="00222492">
        <w:rPr>
          <w:sz w:val="22"/>
        </w:rPr>
        <w:t xml:space="preserve">cię </w:t>
      </w:r>
      <w:r w:rsidR="00222492" w:rsidRPr="00B17D21">
        <w:rPr>
          <w:sz w:val="22"/>
        </w:rPr>
        <w:t xml:space="preserve">przed podjęciem pochopnej decyzji o powierzeniu oszczędności w inwestycje, które nie odpowiadają </w:t>
      </w:r>
      <w:r w:rsidR="00222492">
        <w:rPr>
          <w:sz w:val="22"/>
        </w:rPr>
        <w:t xml:space="preserve">twoim </w:t>
      </w:r>
      <w:r w:rsidR="00222492" w:rsidRPr="00B17D21">
        <w:rPr>
          <w:sz w:val="22"/>
        </w:rPr>
        <w:t xml:space="preserve">potrzebom. </w:t>
      </w:r>
    </w:p>
    <w:p w14:paraId="26F6C20D" w14:textId="77777777" w:rsidR="009B6CB3" w:rsidRPr="00B17D21" w:rsidRDefault="002119A5" w:rsidP="009B6CB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Nie </w:t>
      </w:r>
      <w:r w:rsidR="009B6CB3" w:rsidRPr="00B17D21">
        <w:rPr>
          <w:sz w:val="22"/>
        </w:rPr>
        <w:t>poprzesta</w:t>
      </w:r>
      <w:r>
        <w:rPr>
          <w:sz w:val="22"/>
        </w:rPr>
        <w:t>waj jednak</w:t>
      </w:r>
      <w:r w:rsidR="009B6CB3" w:rsidRPr="00B17D21">
        <w:rPr>
          <w:sz w:val="22"/>
        </w:rPr>
        <w:t xml:space="preserve"> na informacjach zawartych w otrzymanych dokumentach. </w:t>
      </w:r>
      <w:r>
        <w:rPr>
          <w:sz w:val="22"/>
        </w:rPr>
        <w:t>B</w:t>
      </w:r>
      <w:r w:rsidR="009B6CB3" w:rsidRPr="00B17D21">
        <w:rPr>
          <w:sz w:val="22"/>
        </w:rPr>
        <w:t>ardzo ważne jest sprawdzenie modelu biznesowego emitenta, metod prowadzenia działalności</w:t>
      </w:r>
      <w:r>
        <w:rPr>
          <w:sz w:val="22"/>
        </w:rPr>
        <w:t xml:space="preserve"> gospodarczej oraz sposobu jego</w:t>
      </w:r>
      <w:r w:rsidR="009B6CB3" w:rsidRPr="00B17D21">
        <w:rPr>
          <w:sz w:val="22"/>
        </w:rPr>
        <w:t xml:space="preserve"> finansowania. To</w:t>
      </w:r>
      <w:r>
        <w:rPr>
          <w:sz w:val="22"/>
        </w:rPr>
        <w:t>,</w:t>
      </w:r>
      <w:r w:rsidR="009B6CB3" w:rsidRPr="00B17D21">
        <w:rPr>
          <w:sz w:val="22"/>
        </w:rPr>
        <w:t xml:space="preserve"> w jaki sposób działa </w:t>
      </w:r>
      <w:r>
        <w:rPr>
          <w:sz w:val="22"/>
        </w:rPr>
        <w:t>TFI,</w:t>
      </w:r>
      <w:r w:rsidR="009B6CB3" w:rsidRPr="00B17D21">
        <w:rPr>
          <w:sz w:val="22"/>
        </w:rPr>
        <w:t xml:space="preserve"> ma duże znaczenie dla wyboru funduszu. </w:t>
      </w:r>
      <w:r>
        <w:rPr>
          <w:sz w:val="22"/>
        </w:rPr>
        <w:t>Taki</w:t>
      </w:r>
      <w:r w:rsidR="009B6CB3" w:rsidRPr="00B17D21">
        <w:rPr>
          <w:sz w:val="22"/>
        </w:rPr>
        <w:t xml:space="preserve">e informacje </w:t>
      </w:r>
      <w:r>
        <w:rPr>
          <w:sz w:val="22"/>
        </w:rPr>
        <w:t>znajdziesz</w:t>
      </w:r>
      <w:r w:rsidR="009B6CB3" w:rsidRPr="00B17D21">
        <w:rPr>
          <w:sz w:val="22"/>
        </w:rPr>
        <w:t xml:space="preserve"> w </w:t>
      </w:r>
      <w:proofErr w:type="spellStart"/>
      <w:r>
        <w:rPr>
          <w:sz w:val="22"/>
        </w:rPr>
        <w:t>i</w:t>
      </w:r>
      <w:r w:rsidR="009B6CB3" w:rsidRPr="00B17D21">
        <w:rPr>
          <w:sz w:val="22"/>
        </w:rPr>
        <w:t>nternecie</w:t>
      </w:r>
      <w:proofErr w:type="spellEnd"/>
      <w:r>
        <w:rPr>
          <w:sz w:val="22"/>
        </w:rPr>
        <w:t>, ale</w:t>
      </w:r>
      <w:r w:rsidR="009B6CB3" w:rsidRPr="00B17D21">
        <w:rPr>
          <w:sz w:val="22"/>
        </w:rPr>
        <w:t xml:space="preserve"> </w:t>
      </w:r>
      <w:r>
        <w:rPr>
          <w:sz w:val="22"/>
        </w:rPr>
        <w:t>bądź czujny - n</w:t>
      </w:r>
      <w:r w:rsidR="009B6CB3" w:rsidRPr="00B17D21">
        <w:rPr>
          <w:sz w:val="22"/>
        </w:rPr>
        <w:t xml:space="preserve">ie każda podana tam pozytywna opinia musi być wiarygodna. </w:t>
      </w:r>
    </w:p>
    <w:p w14:paraId="637F2837" w14:textId="77777777" w:rsidR="009B6CB3" w:rsidRPr="00B17D21" w:rsidRDefault="002119A5" w:rsidP="009B6CB3">
      <w:pPr>
        <w:spacing w:after="240" w:line="360" w:lineRule="auto"/>
        <w:jc w:val="both"/>
        <w:rPr>
          <w:sz w:val="22"/>
        </w:rPr>
      </w:pPr>
      <w:r>
        <w:rPr>
          <w:sz w:val="22"/>
        </w:rPr>
        <w:t>Uważaj też na</w:t>
      </w:r>
      <w:r w:rsidR="009B6CB3" w:rsidRPr="00B17D21">
        <w:rPr>
          <w:sz w:val="22"/>
        </w:rPr>
        <w:t xml:space="preserve"> dane historyczne dotyczące efektywności</w:t>
      </w:r>
      <w:r>
        <w:rPr>
          <w:sz w:val="22"/>
        </w:rPr>
        <w:t xml:space="preserve"> i</w:t>
      </w:r>
      <w:r w:rsidR="009B6CB3" w:rsidRPr="00B17D21">
        <w:rPr>
          <w:sz w:val="22"/>
        </w:rPr>
        <w:t xml:space="preserve"> zysku funduszy inwestycyjnych. </w:t>
      </w:r>
      <w:r>
        <w:rPr>
          <w:sz w:val="22"/>
        </w:rPr>
        <w:t>Z</w:t>
      </w:r>
      <w:r w:rsidR="009B6CB3" w:rsidRPr="00B17D21">
        <w:rPr>
          <w:sz w:val="22"/>
        </w:rPr>
        <w:t xml:space="preserve">e względu na </w:t>
      </w:r>
      <w:r>
        <w:rPr>
          <w:sz w:val="22"/>
        </w:rPr>
        <w:t xml:space="preserve">takie zmiany społeczno-ekonomiczne, jak </w:t>
      </w:r>
      <w:r w:rsidR="009B6CB3" w:rsidRPr="00B17D21">
        <w:rPr>
          <w:sz w:val="22"/>
        </w:rPr>
        <w:t>np. pojawienie się kryzysów gospodarczych</w:t>
      </w:r>
      <w:r>
        <w:rPr>
          <w:sz w:val="22"/>
        </w:rPr>
        <w:t xml:space="preserve"> czy</w:t>
      </w:r>
      <w:r w:rsidR="009B6CB3" w:rsidRPr="00B17D21">
        <w:rPr>
          <w:sz w:val="22"/>
        </w:rPr>
        <w:t xml:space="preserve"> pandemii, d</w:t>
      </w:r>
      <w:r>
        <w:rPr>
          <w:sz w:val="22"/>
        </w:rPr>
        <w:t>obre wyniki z przeszłości nie muszą się</w:t>
      </w:r>
      <w:r w:rsidR="009B6CB3" w:rsidRPr="00B17D21">
        <w:rPr>
          <w:sz w:val="22"/>
        </w:rPr>
        <w:t xml:space="preserve"> powtórz</w:t>
      </w:r>
      <w:r>
        <w:rPr>
          <w:sz w:val="22"/>
        </w:rPr>
        <w:t>yć</w:t>
      </w:r>
      <w:r w:rsidR="009B6CB3" w:rsidRPr="00B17D21">
        <w:rPr>
          <w:sz w:val="22"/>
        </w:rPr>
        <w:t xml:space="preserve">. </w:t>
      </w:r>
      <w:r w:rsidR="00AF0992">
        <w:rPr>
          <w:sz w:val="22"/>
        </w:rPr>
        <w:t>Te informacje n</w:t>
      </w:r>
      <w:r w:rsidR="009B6CB3" w:rsidRPr="00B17D21">
        <w:rPr>
          <w:sz w:val="22"/>
        </w:rPr>
        <w:t xml:space="preserve">ie </w:t>
      </w:r>
      <w:r w:rsidR="00615242">
        <w:rPr>
          <w:sz w:val="22"/>
        </w:rPr>
        <w:t>mogą być</w:t>
      </w:r>
      <w:r w:rsidR="009B6CB3" w:rsidRPr="00B17D21">
        <w:rPr>
          <w:sz w:val="22"/>
        </w:rPr>
        <w:t xml:space="preserve"> jedyn</w:t>
      </w:r>
      <w:r w:rsidR="00615242">
        <w:rPr>
          <w:sz w:val="22"/>
        </w:rPr>
        <w:t>ym</w:t>
      </w:r>
      <w:r w:rsidR="009B6CB3" w:rsidRPr="00B17D21">
        <w:rPr>
          <w:sz w:val="22"/>
        </w:rPr>
        <w:t xml:space="preserve"> czynnik</w:t>
      </w:r>
      <w:r w:rsidR="00615242">
        <w:rPr>
          <w:sz w:val="22"/>
        </w:rPr>
        <w:t>iem</w:t>
      </w:r>
      <w:r w:rsidR="009B6CB3" w:rsidRPr="00B17D21">
        <w:rPr>
          <w:sz w:val="22"/>
        </w:rPr>
        <w:t xml:space="preserve">, </w:t>
      </w:r>
      <w:r w:rsidR="00615242">
        <w:rPr>
          <w:sz w:val="22"/>
        </w:rPr>
        <w:t>który bierzesz pod uwagę</w:t>
      </w:r>
      <w:r w:rsidR="009B6CB3" w:rsidRPr="00B17D21">
        <w:rPr>
          <w:sz w:val="22"/>
        </w:rPr>
        <w:t xml:space="preserve">. </w:t>
      </w:r>
    </w:p>
    <w:p w14:paraId="2036A85D" w14:textId="77777777" w:rsidR="009B6CB3" w:rsidRPr="00615242" w:rsidRDefault="00615242" w:rsidP="00615242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 w:rsidRPr="00615242">
        <w:rPr>
          <w:b/>
          <w:sz w:val="22"/>
        </w:rPr>
        <w:t>P</w:t>
      </w:r>
      <w:r w:rsidR="009B6CB3" w:rsidRPr="00615242">
        <w:rPr>
          <w:b/>
          <w:sz w:val="22"/>
        </w:rPr>
        <w:t>orówna</w:t>
      </w:r>
      <w:r w:rsidRPr="00615242">
        <w:rPr>
          <w:b/>
          <w:sz w:val="22"/>
        </w:rPr>
        <w:t>j</w:t>
      </w:r>
      <w:r w:rsidR="009B6CB3" w:rsidRPr="00615242">
        <w:rPr>
          <w:b/>
          <w:sz w:val="22"/>
        </w:rPr>
        <w:t xml:space="preserve"> oferty</w:t>
      </w:r>
    </w:p>
    <w:p w14:paraId="6BE5BE37" w14:textId="77777777" w:rsidR="009B6CB3" w:rsidRPr="00B17D21" w:rsidRDefault="00615242" w:rsidP="009B6CB3">
      <w:pPr>
        <w:spacing w:after="240" w:line="360" w:lineRule="auto"/>
        <w:jc w:val="both"/>
        <w:rPr>
          <w:sz w:val="22"/>
        </w:rPr>
      </w:pPr>
      <w:r>
        <w:rPr>
          <w:sz w:val="22"/>
        </w:rPr>
        <w:t>Na rynku d</w:t>
      </w:r>
      <w:r w:rsidRPr="00B17D21">
        <w:rPr>
          <w:sz w:val="22"/>
        </w:rPr>
        <w:t>ostępnych jest wiele funduszy inwestycyjnych</w:t>
      </w:r>
      <w:r w:rsidR="00C06DD1">
        <w:rPr>
          <w:sz w:val="22"/>
        </w:rPr>
        <w:t xml:space="preserve">, zgodnie </w:t>
      </w:r>
      <w:r w:rsidRPr="00B17D21">
        <w:rPr>
          <w:sz w:val="22"/>
        </w:rPr>
        <w:t xml:space="preserve">z </w:t>
      </w:r>
      <w:hyperlink r:id="rId8" w:history="1">
        <w:r w:rsidRPr="00C06DD1">
          <w:rPr>
            <w:rStyle w:val="Hipercze"/>
            <w:sz w:val="22"/>
          </w:rPr>
          <w:t>raportem KNF</w:t>
        </w:r>
      </w:hyperlink>
      <w:r w:rsidRPr="00B17D21">
        <w:rPr>
          <w:sz w:val="22"/>
        </w:rPr>
        <w:t xml:space="preserve"> </w:t>
      </w:r>
      <w:r w:rsidR="00C06DD1">
        <w:rPr>
          <w:sz w:val="22"/>
        </w:rPr>
        <w:t xml:space="preserve">na koniec 2020 r. </w:t>
      </w:r>
      <w:r w:rsidRPr="00B17D21">
        <w:rPr>
          <w:sz w:val="22"/>
        </w:rPr>
        <w:t xml:space="preserve">funkcjonowało </w:t>
      </w:r>
      <w:r w:rsidR="00C06DD1">
        <w:rPr>
          <w:sz w:val="22"/>
        </w:rPr>
        <w:t xml:space="preserve">ich aż </w:t>
      </w:r>
      <w:r w:rsidRPr="00B17D21">
        <w:rPr>
          <w:sz w:val="22"/>
        </w:rPr>
        <w:t>737.</w:t>
      </w:r>
      <w:r w:rsidR="009B6CB3" w:rsidRPr="00B17D21">
        <w:rPr>
          <w:sz w:val="22"/>
        </w:rPr>
        <w:t xml:space="preserve"> Różnią się m.in. wysokością pobieranych opłat, </w:t>
      </w:r>
      <w:proofErr w:type="spellStart"/>
      <w:r w:rsidR="009B6CB3" w:rsidRPr="00B17D21">
        <w:rPr>
          <w:sz w:val="22"/>
        </w:rPr>
        <w:t>ryzykami</w:t>
      </w:r>
      <w:proofErr w:type="spellEnd"/>
      <w:r w:rsidR="009B6CB3" w:rsidRPr="00B17D21">
        <w:rPr>
          <w:sz w:val="22"/>
        </w:rPr>
        <w:t>, minimalnym czasem zamrożenia środków, a także instrumentami, w które fundusz inwestuj</w:t>
      </w:r>
      <w:r w:rsidR="00C84E1F">
        <w:rPr>
          <w:sz w:val="22"/>
        </w:rPr>
        <w:t>ą</w:t>
      </w:r>
      <w:r w:rsidR="009B6CB3" w:rsidRPr="00B17D21">
        <w:rPr>
          <w:sz w:val="22"/>
        </w:rPr>
        <w:t xml:space="preserve">. </w:t>
      </w:r>
      <w:r w:rsidR="00C84E1F">
        <w:rPr>
          <w:sz w:val="22"/>
        </w:rPr>
        <w:t>P</w:t>
      </w:r>
      <w:r w:rsidR="009B6CB3" w:rsidRPr="00B17D21">
        <w:rPr>
          <w:sz w:val="22"/>
        </w:rPr>
        <w:t>rzed powierzeniem pienię</w:t>
      </w:r>
      <w:r>
        <w:rPr>
          <w:sz w:val="22"/>
        </w:rPr>
        <w:t>dzy</w:t>
      </w:r>
      <w:r w:rsidR="009B6CB3" w:rsidRPr="00B17D21">
        <w:rPr>
          <w:sz w:val="22"/>
        </w:rPr>
        <w:t xml:space="preserve"> warto zebrać informacje o różnych konkurujących ze sobą funduszach.</w:t>
      </w:r>
    </w:p>
    <w:p w14:paraId="67BF3A4A" w14:textId="77777777" w:rsidR="009B6CB3" w:rsidRPr="00C06DD1" w:rsidRDefault="00C06DD1" w:rsidP="00C06DD1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 w:rsidRPr="00C06DD1">
        <w:rPr>
          <w:b/>
          <w:sz w:val="22"/>
        </w:rPr>
        <w:t>S</w:t>
      </w:r>
      <w:r w:rsidR="009B6CB3" w:rsidRPr="00C06DD1">
        <w:rPr>
          <w:b/>
          <w:sz w:val="22"/>
        </w:rPr>
        <w:t>prawdzić wysokość kosztów</w:t>
      </w:r>
      <w:r w:rsidR="009549C8">
        <w:rPr>
          <w:b/>
          <w:sz w:val="22"/>
        </w:rPr>
        <w:t xml:space="preserve"> i możliwość wycofania środków </w:t>
      </w:r>
    </w:p>
    <w:p w14:paraId="2E2C21E5" w14:textId="77777777" w:rsidR="009549C8" w:rsidRPr="00B17D21" w:rsidRDefault="009B6CB3" w:rsidP="009549C8">
      <w:pPr>
        <w:spacing w:after="240" w:line="360" w:lineRule="auto"/>
        <w:jc w:val="both"/>
        <w:rPr>
          <w:sz w:val="22"/>
        </w:rPr>
      </w:pPr>
      <w:r w:rsidRPr="00B17D21">
        <w:rPr>
          <w:sz w:val="22"/>
        </w:rPr>
        <w:t>Inwest</w:t>
      </w:r>
      <w:r w:rsidR="00C06DD1">
        <w:rPr>
          <w:sz w:val="22"/>
        </w:rPr>
        <w:t>owanie w fundusze wiąże się</w:t>
      </w:r>
      <w:r w:rsidRPr="00B17D21">
        <w:rPr>
          <w:sz w:val="22"/>
        </w:rPr>
        <w:t xml:space="preserve"> </w:t>
      </w:r>
      <w:r w:rsidR="00D1536D">
        <w:rPr>
          <w:sz w:val="22"/>
        </w:rPr>
        <w:t xml:space="preserve">z </w:t>
      </w:r>
      <w:r w:rsidRPr="00B17D21">
        <w:rPr>
          <w:sz w:val="22"/>
        </w:rPr>
        <w:t>koniecznością poniesienia różn</w:t>
      </w:r>
      <w:r w:rsidR="00C06DD1">
        <w:rPr>
          <w:sz w:val="22"/>
        </w:rPr>
        <w:t>ych</w:t>
      </w:r>
      <w:r w:rsidRPr="00B17D21">
        <w:rPr>
          <w:sz w:val="22"/>
        </w:rPr>
        <w:t xml:space="preserve"> </w:t>
      </w:r>
      <w:r w:rsidR="00C06DD1">
        <w:rPr>
          <w:sz w:val="22"/>
        </w:rPr>
        <w:t xml:space="preserve">opłat, np. </w:t>
      </w:r>
      <w:r w:rsidRPr="00B17D21">
        <w:rPr>
          <w:sz w:val="22"/>
        </w:rPr>
        <w:t xml:space="preserve">za zarządzanie, </w:t>
      </w:r>
      <w:r w:rsidR="00C06DD1">
        <w:rPr>
          <w:sz w:val="22"/>
        </w:rPr>
        <w:t xml:space="preserve">za sukces, </w:t>
      </w:r>
      <w:r w:rsidRPr="00B17D21">
        <w:rPr>
          <w:sz w:val="22"/>
        </w:rPr>
        <w:t>dystrybucyjn</w:t>
      </w:r>
      <w:r w:rsidR="00EA0074">
        <w:rPr>
          <w:sz w:val="22"/>
        </w:rPr>
        <w:t>ych, uwzglę</w:t>
      </w:r>
      <w:r w:rsidR="00C06DD1">
        <w:rPr>
          <w:sz w:val="22"/>
        </w:rPr>
        <w:t xml:space="preserve">dniających </w:t>
      </w:r>
      <w:r w:rsidR="00C06DD1" w:rsidRPr="00B17D21">
        <w:rPr>
          <w:sz w:val="22"/>
        </w:rPr>
        <w:t>koszty prowadzenia funduszu,</w:t>
      </w:r>
      <w:r w:rsidRPr="00B17D21">
        <w:rPr>
          <w:sz w:val="22"/>
        </w:rPr>
        <w:t xml:space="preserve"> a także naliczan</w:t>
      </w:r>
      <w:r w:rsidR="00C06DD1">
        <w:rPr>
          <w:sz w:val="22"/>
        </w:rPr>
        <w:t>ych</w:t>
      </w:r>
      <w:r w:rsidRPr="00B17D21">
        <w:rPr>
          <w:sz w:val="22"/>
        </w:rPr>
        <w:t xml:space="preserve"> w związku z wcześniejszym zakończe</w:t>
      </w:r>
      <w:r w:rsidR="00C06DD1">
        <w:rPr>
          <w:sz w:val="22"/>
        </w:rPr>
        <w:t>nie</w:t>
      </w:r>
      <w:r w:rsidRPr="00B17D21">
        <w:rPr>
          <w:sz w:val="22"/>
        </w:rPr>
        <w:t xml:space="preserve">m inwestycji. Ich wysokość może mieć bezpośrednie przełożenie na wielkość potencjalnego zysku, jaki </w:t>
      </w:r>
      <w:r w:rsidR="00C716C2">
        <w:rPr>
          <w:sz w:val="22"/>
        </w:rPr>
        <w:t>uzyskasz</w:t>
      </w:r>
      <w:r w:rsidR="00C06DD1">
        <w:rPr>
          <w:sz w:val="22"/>
        </w:rPr>
        <w:t xml:space="preserve"> po zakończeniu inwestycji.</w:t>
      </w:r>
      <w:r w:rsidR="00EA0074">
        <w:rPr>
          <w:sz w:val="22"/>
        </w:rPr>
        <w:t xml:space="preserve"> </w:t>
      </w:r>
      <w:r w:rsidR="00AF1D03">
        <w:rPr>
          <w:sz w:val="22"/>
        </w:rPr>
        <w:t>Jednak na wartość zwracanych inwestorom środków ma również wpływ możliwość</w:t>
      </w:r>
      <w:r w:rsidR="009549C8">
        <w:rPr>
          <w:sz w:val="22"/>
        </w:rPr>
        <w:t xml:space="preserve"> zawieszenia</w:t>
      </w:r>
      <w:r w:rsidR="009549C8" w:rsidRPr="00B17D21">
        <w:rPr>
          <w:sz w:val="22"/>
        </w:rPr>
        <w:t xml:space="preserve"> czy też wstrzymania wypłat</w:t>
      </w:r>
      <w:r w:rsidR="00AF1D03">
        <w:rPr>
          <w:sz w:val="22"/>
        </w:rPr>
        <w:t xml:space="preserve"> przez </w:t>
      </w:r>
      <w:r w:rsidR="008B0347">
        <w:rPr>
          <w:sz w:val="22"/>
        </w:rPr>
        <w:t>TFI</w:t>
      </w:r>
      <w:r w:rsidR="009549C8" w:rsidRPr="00B17D21">
        <w:rPr>
          <w:sz w:val="22"/>
        </w:rPr>
        <w:t xml:space="preserve">. </w:t>
      </w:r>
      <w:r w:rsidR="00AF1D03">
        <w:rPr>
          <w:sz w:val="22"/>
        </w:rPr>
        <w:t xml:space="preserve">Informacje tego dotyczące muszą być </w:t>
      </w:r>
      <w:r w:rsidR="00DD760B">
        <w:rPr>
          <w:sz w:val="22"/>
        </w:rPr>
        <w:t>zawarte</w:t>
      </w:r>
      <w:r w:rsidR="00AF1D03">
        <w:rPr>
          <w:sz w:val="22"/>
        </w:rPr>
        <w:t xml:space="preserve"> w dokumentach określających warunki umów, z którymi należy się zapoznać z uwagą</w:t>
      </w:r>
      <w:r w:rsidR="008B0347">
        <w:rPr>
          <w:sz w:val="22"/>
        </w:rPr>
        <w:t xml:space="preserve"> przed podjęciem każdej decyzji inwestycyjnej</w:t>
      </w:r>
      <w:r w:rsidR="00AF1D03">
        <w:rPr>
          <w:sz w:val="22"/>
        </w:rPr>
        <w:t xml:space="preserve">.   </w:t>
      </w:r>
    </w:p>
    <w:p w14:paraId="6E1D0F14" w14:textId="77777777" w:rsidR="009B6CB3" w:rsidRPr="00C716C2" w:rsidRDefault="00C716C2" w:rsidP="00C716C2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>Dowiedz się, jakie</w:t>
      </w:r>
      <w:r w:rsidR="009B6CB3" w:rsidRPr="00C716C2">
        <w:rPr>
          <w:b/>
          <w:sz w:val="22"/>
        </w:rPr>
        <w:t xml:space="preserve"> </w:t>
      </w:r>
      <w:r>
        <w:rPr>
          <w:b/>
          <w:sz w:val="22"/>
        </w:rPr>
        <w:t xml:space="preserve">są </w:t>
      </w:r>
      <w:r w:rsidR="009B6CB3" w:rsidRPr="00C716C2">
        <w:rPr>
          <w:b/>
          <w:sz w:val="22"/>
        </w:rPr>
        <w:t>ryzyka</w:t>
      </w:r>
      <w:r>
        <w:rPr>
          <w:b/>
          <w:sz w:val="22"/>
        </w:rPr>
        <w:t xml:space="preserve"> konkretnego funduszu</w:t>
      </w:r>
    </w:p>
    <w:p w14:paraId="6BD857A4" w14:textId="77777777" w:rsidR="009B6CB3" w:rsidRPr="00B17D21" w:rsidRDefault="009B6CB3" w:rsidP="009B6CB3">
      <w:pPr>
        <w:spacing w:after="240" w:line="360" w:lineRule="auto"/>
        <w:jc w:val="both"/>
        <w:rPr>
          <w:sz w:val="22"/>
        </w:rPr>
      </w:pPr>
      <w:r w:rsidRPr="00B17D21">
        <w:rPr>
          <w:sz w:val="22"/>
        </w:rPr>
        <w:t xml:space="preserve">Sukces działania funduszu może zależeć od </w:t>
      </w:r>
      <w:r w:rsidR="00C716C2">
        <w:rPr>
          <w:sz w:val="22"/>
        </w:rPr>
        <w:t xml:space="preserve">przyjętej </w:t>
      </w:r>
      <w:r w:rsidRPr="00B17D21">
        <w:rPr>
          <w:sz w:val="22"/>
        </w:rPr>
        <w:t xml:space="preserve">strategii inwestowania, a więc w jakie instrumenty były inwestowane </w:t>
      </w:r>
      <w:r w:rsidR="00AF0992">
        <w:rPr>
          <w:sz w:val="22"/>
        </w:rPr>
        <w:t>środki</w:t>
      </w:r>
      <w:r w:rsidRPr="00B17D21">
        <w:rPr>
          <w:sz w:val="22"/>
        </w:rPr>
        <w:t xml:space="preserve">, np. akcje, obligacje, wierzytelności, nieruchomości. Poziom ich stabilności, płynności może się przekładać na ryzyko, a więc nie tylko prawdopodobieństwo poniesienia strat, ale </w:t>
      </w:r>
      <w:r w:rsidR="00C716C2">
        <w:rPr>
          <w:sz w:val="22"/>
        </w:rPr>
        <w:t xml:space="preserve">też </w:t>
      </w:r>
      <w:r w:rsidRPr="00B17D21">
        <w:rPr>
          <w:sz w:val="22"/>
        </w:rPr>
        <w:t xml:space="preserve">możliwości wycofania środków przez inwestorów. </w:t>
      </w:r>
    </w:p>
    <w:p w14:paraId="65A725A3" w14:textId="77777777" w:rsidR="009B6CB3" w:rsidRDefault="009B6CB3" w:rsidP="009B6CB3">
      <w:pPr>
        <w:spacing w:after="240" w:line="360" w:lineRule="auto"/>
        <w:jc w:val="both"/>
        <w:rPr>
          <w:sz w:val="22"/>
        </w:rPr>
      </w:pPr>
      <w:r w:rsidRPr="00B17D21">
        <w:rPr>
          <w:sz w:val="22"/>
        </w:rPr>
        <w:t>Fundusze inwestycyjne są bezpośrednio powiązane z czynnikami ryzyka</w:t>
      </w:r>
      <w:r w:rsidR="00C716C2">
        <w:rPr>
          <w:sz w:val="22"/>
        </w:rPr>
        <w:t xml:space="preserve"> takimi, jak</w:t>
      </w:r>
      <w:r w:rsidRPr="00B17D21">
        <w:rPr>
          <w:sz w:val="22"/>
        </w:rPr>
        <w:t xml:space="preserve"> wysokość stóp procentowych, otoczenie prawne, koniunktura na rynkach finansowych. Zaburzenia notowań spółek giełdow</w:t>
      </w:r>
      <w:r w:rsidR="00C716C2">
        <w:rPr>
          <w:sz w:val="22"/>
        </w:rPr>
        <w:t>ych, trudności finansowe banków</w:t>
      </w:r>
      <w:r w:rsidRPr="00B17D21">
        <w:rPr>
          <w:sz w:val="22"/>
        </w:rPr>
        <w:t xml:space="preserve"> czy funduszy inwestycyjnych, mogą bezpośrednio przełożyć się na efektywność konkretnych funduszy powiązanych z nimi bezpośrednio oraz pośrednio. </w:t>
      </w:r>
    </w:p>
    <w:p w14:paraId="585BD02E" w14:textId="77777777" w:rsidR="007077E7" w:rsidRPr="00BF6D3E" w:rsidRDefault="007077E7" w:rsidP="007077E7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906DFC">
        <w:rPr>
          <w:rFonts w:cs="Arial"/>
          <w:b/>
          <w:sz w:val="22"/>
        </w:rPr>
        <w:t>O</w:t>
      </w:r>
      <w:r>
        <w:rPr>
          <w:rFonts w:cs="Arial"/>
          <w:b/>
          <w:sz w:val="22"/>
        </w:rPr>
        <w:t xml:space="preserve"> kampanii </w:t>
      </w:r>
      <w:r w:rsidR="00C84E1F">
        <w:rPr>
          <w:rFonts w:cs="Arial"/>
          <w:b/>
          <w:sz w:val="22"/>
        </w:rPr>
        <w:t xml:space="preserve">Prezesa </w:t>
      </w:r>
      <w:r>
        <w:rPr>
          <w:rFonts w:cs="Arial"/>
          <w:b/>
          <w:sz w:val="22"/>
        </w:rPr>
        <w:t>UOKiK</w:t>
      </w:r>
    </w:p>
    <w:p w14:paraId="554E591D" w14:textId="77777777" w:rsidR="007077E7" w:rsidRPr="003E7CB5" w:rsidRDefault="007077E7" w:rsidP="007077E7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t xml:space="preserve">Kampania </w:t>
      </w:r>
      <w:r w:rsidR="00C84E1F">
        <w:rPr>
          <w:bCs/>
          <w:color w:val="000000"/>
          <w:kern w:val="16"/>
          <w:sz w:val="22"/>
          <w:lang w:eastAsia="pl-PL"/>
        </w:rPr>
        <w:t xml:space="preserve">Prezesa </w:t>
      </w:r>
      <w:r>
        <w:rPr>
          <w:bCs/>
          <w:color w:val="000000"/>
          <w:kern w:val="16"/>
          <w:sz w:val="22"/>
          <w:lang w:eastAsia="pl-PL"/>
        </w:rPr>
        <w:t xml:space="preserve">UOKiK </w:t>
      </w:r>
      <w:r w:rsidRPr="007D1869">
        <w:rPr>
          <w:rFonts w:cs="Tahoma"/>
          <w:bCs/>
          <w:color w:val="000000" w:themeColor="text1"/>
          <w:sz w:val="22"/>
          <w:lang w:eastAsia="en-GB"/>
        </w:rPr>
        <w:t>„Policz i nie przelicz się”</w:t>
      </w:r>
      <w:r>
        <w:rPr>
          <w:bCs/>
          <w:color w:val="000000"/>
          <w:kern w:val="16"/>
          <w:sz w:val="22"/>
          <w:lang w:eastAsia="pl-PL"/>
        </w:rPr>
        <w:t xml:space="preserve"> ma </w:t>
      </w:r>
      <w:r w:rsidR="00C84E1F">
        <w:rPr>
          <w:bCs/>
          <w:color w:val="000000"/>
          <w:kern w:val="16"/>
          <w:sz w:val="22"/>
          <w:lang w:eastAsia="pl-PL"/>
        </w:rPr>
        <w:t>na celu</w:t>
      </w:r>
      <w:r w:rsidRPr="003E7CB5">
        <w:rPr>
          <w:bCs/>
          <w:color w:val="000000"/>
          <w:kern w:val="16"/>
          <w:sz w:val="22"/>
          <w:lang w:eastAsia="pl-PL"/>
        </w:rPr>
        <w:t xml:space="preserve"> zwiększeni</w:t>
      </w:r>
      <w:r w:rsidR="00047234">
        <w:rPr>
          <w:bCs/>
          <w:color w:val="000000"/>
          <w:kern w:val="16"/>
          <w:sz w:val="22"/>
          <w:lang w:eastAsia="pl-PL"/>
        </w:rPr>
        <w:t>e</w:t>
      </w:r>
      <w:r w:rsidRPr="003E7CB5">
        <w:rPr>
          <w:bCs/>
          <w:color w:val="000000"/>
          <w:kern w:val="16"/>
          <w:sz w:val="22"/>
          <w:lang w:eastAsia="pl-PL"/>
        </w:rPr>
        <w:t xml:space="preserve"> świadomości i bezpieczeństwa konsumentów</w:t>
      </w:r>
      <w:r>
        <w:rPr>
          <w:bCs/>
          <w:color w:val="000000"/>
          <w:kern w:val="16"/>
          <w:sz w:val="22"/>
          <w:lang w:eastAsia="pl-PL"/>
        </w:rPr>
        <w:t xml:space="preserve">. Spoty od 6 września można obejrzeć w telewizji i usłyszeć w radiu. Emitowane są </w:t>
      </w:r>
      <w:proofErr w:type="spellStart"/>
      <w:r>
        <w:rPr>
          <w:bCs/>
          <w:color w:val="000000"/>
          <w:kern w:val="16"/>
          <w:sz w:val="22"/>
          <w:lang w:eastAsia="pl-PL"/>
        </w:rPr>
        <w:t>bezkosztowo</w:t>
      </w:r>
      <w:proofErr w:type="spellEnd"/>
      <w:r>
        <w:rPr>
          <w:bCs/>
          <w:color w:val="000000"/>
          <w:kern w:val="16"/>
          <w:sz w:val="22"/>
          <w:lang w:eastAsia="pl-PL"/>
        </w:rPr>
        <w:t>, m.in. w oparciu o art. 31 c ustawy</w:t>
      </w:r>
      <w:r w:rsidRPr="00906DFC">
        <w:rPr>
          <w:bCs/>
          <w:color w:val="000000"/>
          <w:kern w:val="16"/>
          <w:sz w:val="22"/>
          <w:lang w:eastAsia="pl-PL"/>
        </w:rPr>
        <w:t xml:space="preserve"> o ochronie konkurencji i konsumentów</w:t>
      </w:r>
      <w:r>
        <w:rPr>
          <w:bCs/>
          <w:color w:val="000000"/>
          <w:kern w:val="16"/>
          <w:sz w:val="22"/>
          <w:lang w:eastAsia="pl-PL"/>
        </w:rPr>
        <w:t>.</w:t>
      </w:r>
    </w:p>
    <w:p w14:paraId="39BD96A9" w14:textId="77777777" w:rsidR="007077E7" w:rsidRPr="003E7CB5" w:rsidRDefault="00EA0074" w:rsidP="007077E7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>
        <w:rPr>
          <w:bCs/>
          <w:i/>
          <w:color w:val="000000"/>
          <w:kern w:val="16"/>
          <w:sz w:val="22"/>
          <w:lang w:eastAsia="pl-PL"/>
        </w:rPr>
        <w:t>-</w:t>
      </w:r>
      <w:r w:rsidR="007077E7" w:rsidRPr="003E7CB5">
        <w:rPr>
          <w:rFonts w:eastAsia="Arial Unicode MS"/>
          <w:i/>
          <w:kern w:val="16"/>
          <w:sz w:val="22"/>
        </w:rPr>
        <w:t xml:space="preserve"> </w:t>
      </w:r>
      <w:r w:rsidR="007077E7" w:rsidRPr="003E7CB5">
        <w:rPr>
          <w:rFonts w:cs="Arial"/>
          <w:i/>
          <w:sz w:val="22"/>
        </w:rPr>
        <w:t xml:space="preserve">Zachęcam do włączenia się w naszą kampanię media, instytucje i organizacje pozarządowe. </w:t>
      </w:r>
      <w:r w:rsidR="007077E7">
        <w:rPr>
          <w:rFonts w:cs="Arial"/>
          <w:i/>
          <w:sz w:val="22"/>
        </w:rPr>
        <w:t xml:space="preserve">Wszelkie </w:t>
      </w:r>
      <w:r w:rsidR="007077E7" w:rsidRPr="003E7CB5">
        <w:rPr>
          <w:rFonts w:cs="Arial"/>
          <w:i/>
          <w:sz w:val="22"/>
        </w:rPr>
        <w:t>form</w:t>
      </w:r>
      <w:r w:rsidR="007077E7">
        <w:rPr>
          <w:rFonts w:cs="Arial"/>
          <w:i/>
          <w:sz w:val="22"/>
        </w:rPr>
        <w:t>y</w:t>
      </w:r>
      <w:r w:rsidR="007077E7" w:rsidRPr="003E7CB5">
        <w:rPr>
          <w:rFonts w:cs="Arial"/>
          <w:i/>
          <w:sz w:val="22"/>
        </w:rPr>
        <w:t xml:space="preserve"> wsparcia </w:t>
      </w:r>
      <w:r w:rsidR="007077E7">
        <w:rPr>
          <w:rFonts w:cs="Arial"/>
          <w:i/>
          <w:sz w:val="22"/>
        </w:rPr>
        <w:t xml:space="preserve">kampanii </w:t>
      </w:r>
      <w:r w:rsidR="007077E7" w:rsidRPr="003E7CB5">
        <w:rPr>
          <w:rFonts w:cs="Arial"/>
          <w:i/>
          <w:sz w:val="22"/>
        </w:rPr>
        <w:t>umożliwi</w:t>
      </w:r>
      <w:r w:rsidR="007077E7">
        <w:rPr>
          <w:rFonts w:cs="Arial"/>
          <w:i/>
          <w:sz w:val="22"/>
        </w:rPr>
        <w:t>ą</w:t>
      </w:r>
      <w:r w:rsidR="007077E7" w:rsidRPr="003E7CB5">
        <w:rPr>
          <w:rFonts w:cs="Arial"/>
          <w:i/>
          <w:sz w:val="22"/>
        </w:rPr>
        <w:t xml:space="preserve"> dotarcie do </w:t>
      </w:r>
      <w:r w:rsidR="007077E7">
        <w:rPr>
          <w:rFonts w:cs="Arial"/>
          <w:i/>
          <w:sz w:val="22"/>
        </w:rPr>
        <w:t xml:space="preserve">szerokiego </w:t>
      </w:r>
      <w:r w:rsidR="007077E7" w:rsidRPr="003E7CB5">
        <w:rPr>
          <w:rFonts w:cs="Arial"/>
          <w:i/>
          <w:sz w:val="22"/>
        </w:rPr>
        <w:t xml:space="preserve">grona odbiorców i </w:t>
      </w:r>
      <w:r w:rsidR="007077E7">
        <w:rPr>
          <w:rFonts w:cs="Arial"/>
          <w:i/>
          <w:sz w:val="22"/>
        </w:rPr>
        <w:t xml:space="preserve">wpłyną na poprawę bezpieczeństwa </w:t>
      </w:r>
      <w:r w:rsidR="007077E7" w:rsidRPr="003E7CB5">
        <w:rPr>
          <w:rFonts w:cs="Arial"/>
          <w:i/>
          <w:sz w:val="22"/>
        </w:rPr>
        <w:t xml:space="preserve">konsumentów </w:t>
      </w:r>
      <w:r w:rsidR="007077E7" w:rsidRPr="003E7CB5">
        <w:rPr>
          <w:rFonts w:cs="Arial"/>
          <w:sz w:val="22"/>
        </w:rPr>
        <w:t>― mówi Tomasz Chróstny, Prezes UOKiK.</w:t>
      </w:r>
    </w:p>
    <w:p w14:paraId="3949A52A" w14:textId="77777777" w:rsidR="007077E7" w:rsidRDefault="005E3722" w:rsidP="007077E7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hyperlink r:id="rId9" w:history="1">
        <w:r w:rsidR="007077E7" w:rsidRPr="007604E2">
          <w:rPr>
            <w:rStyle w:val="Hipercze"/>
            <w:rFonts w:cs="Arial"/>
            <w:sz w:val="22"/>
          </w:rPr>
          <w:t>Spoty kampanii edukacyjnej „Policz i nie przelicz się” są dostępne na stronie UOKiK</w:t>
        </w:r>
      </w:hyperlink>
      <w:r w:rsidR="007077E7" w:rsidRPr="00BC7A6F">
        <w:rPr>
          <w:rFonts w:cs="Arial"/>
          <w:sz w:val="22"/>
        </w:rPr>
        <w:t>.</w:t>
      </w:r>
      <w:r w:rsidR="007077E7" w:rsidRPr="00315AB5">
        <w:rPr>
          <w:rFonts w:cs="Arial"/>
          <w:sz w:val="22"/>
        </w:rPr>
        <w:t xml:space="preserve"> </w:t>
      </w:r>
    </w:p>
    <w:p w14:paraId="595218F1" w14:textId="77777777" w:rsidR="00601A99" w:rsidRPr="00601A99" w:rsidRDefault="00601A99" w:rsidP="00601A99">
      <w:pPr>
        <w:spacing w:after="240" w:line="360" w:lineRule="auto"/>
        <w:jc w:val="both"/>
        <w:rPr>
          <w:rFonts w:cs="Arial"/>
          <w:b/>
          <w:sz w:val="22"/>
        </w:rPr>
      </w:pPr>
      <w:r w:rsidRPr="00601A99">
        <w:rPr>
          <w:rFonts w:cs="Arial"/>
          <w:b/>
          <w:sz w:val="22"/>
        </w:rPr>
        <w:t>Konsument.edu.pl</w:t>
      </w:r>
    </w:p>
    <w:p w14:paraId="3D93C9D7" w14:textId="77777777" w:rsidR="00601A99" w:rsidRPr="00601A99" w:rsidRDefault="00601A99" w:rsidP="00601A99">
      <w:pPr>
        <w:spacing w:after="240" w:line="360" w:lineRule="auto"/>
        <w:jc w:val="both"/>
        <w:rPr>
          <w:b/>
          <w:sz w:val="23"/>
          <w:szCs w:val="23"/>
        </w:rPr>
      </w:pPr>
      <w:r w:rsidRPr="00601A99">
        <w:rPr>
          <w:rFonts w:cs="Arial"/>
          <w:sz w:val="22"/>
        </w:rPr>
        <w:t>Znajomy pod</w:t>
      </w:r>
      <w:r>
        <w:rPr>
          <w:rFonts w:cs="Arial"/>
          <w:sz w:val="22"/>
        </w:rPr>
        <w:t xml:space="preserve">syła ci linka i namawia do zarabiania milionów? Sprawdź, czy wpadniesz w pułapkę inwestycyjną. Odwiedź stronę </w:t>
      </w:r>
      <w:hyperlink r:id="rId10" w:history="1">
        <w:r w:rsidRPr="00C52CED">
          <w:rPr>
            <w:rStyle w:val="Hipercze"/>
            <w:rFonts w:cs="Arial"/>
            <w:sz w:val="22"/>
          </w:rPr>
          <w:t>www.konsument.edu.pl</w:t>
        </w:r>
      </w:hyperlink>
      <w:r>
        <w:rPr>
          <w:rFonts w:cs="Arial"/>
          <w:sz w:val="22"/>
        </w:rPr>
        <w:t xml:space="preserve"> - t</w:t>
      </w:r>
      <w:r w:rsidRPr="00601A99">
        <w:rPr>
          <w:rFonts w:cs="Arial"/>
          <w:sz w:val="22"/>
        </w:rPr>
        <w:t>o symulator portalu społecznościowego, w którym w bezpieczny sposób pokazujemy, jakie triki stosują oszuści.</w:t>
      </w:r>
      <w:r>
        <w:rPr>
          <w:rFonts w:cs="Arial"/>
          <w:sz w:val="22"/>
        </w:rPr>
        <w:t xml:space="preserve"> </w:t>
      </w:r>
      <w:r w:rsidRPr="00A069C0">
        <w:rPr>
          <w:sz w:val="23"/>
          <w:szCs w:val="23"/>
        </w:rPr>
        <w:t xml:space="preserve">Każda </w:t>
      </w:r>
      <w:r>
        <w:rPr>
          <w:sz w:val="23"/>
          <w:szCs w:val="23"/>
        </w:rPr>
        <w:t>„pułapka”</w:t>
      </w:r>
      <w:r w:rsidRPr="00A069C0">
        <w:rPr>
          <w:sz w:val="23"/>
          <w:szCs w:val="23"/>
        </w:rPr>
        <w:t xml:space="preserve"> kończy się podsumowaniem: radami, co i jak należy sprawdzić przed skorzystaniem z oferty</w:t>
      </w:r>
      <w:r>
        <w:rPr>
          <w:sz w:val="23"/>
          <w:szCs w:val="23"/>
        </w:rPr>
        <w:t>,</w:t>
      </w:r>
      <w:r w:rsidRPr="00A069C0">
        <w:rPr>
          <w:sz w:val="23"/>
          <w:szCs w:val="23"/>
        </w:rPr>
        <w:t xml:space="preserve"> </w:t>
      </w:r>
      <w:r>
        <w:rPr>
          <w:sz w:val="23"/>
          <w:szCs w:val="23"/>
        </w:rPr>
        <w:t>a także</w:t>
      </w:r>
      <w:r w:rsidRPr="00A069C0">
        <w:rPr>
          <w:sz w:val="23"/>
          <w:szCs w:val="23"/>
        </w:rPr>
        <w:t xml:space="preserve"> informacją, gdzie udać się po pomoc. </w:t>
      </w:r>
      <w:r w:rsidRPr="00601A99">
        <w:rPr>
          <w:b/>
          <w:sz w:val="23"/>
          <w:szCs w:val="23"/>
        </w:rPr>
        <w:t xml:space="preserve">Witrynę można bezpłatnie wykorzystać do edukacji młodzieży – zawiera specjalne menu dla edukatorów wraz z 10 scenariuszami lekcji.  </w:t>
      </w:r>
    </w:p>
    <w:p w14:paraId="69B31359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15FA19CC" w14:textId="77777777" w:rsidR="00B17D21" w:rsidRPr="009B6CB3" w:rsidRDefault="00E74B86" w:rsidP="009B6CB3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B17D21" w:rsidRPr="009B6CB3" w:rsidSect="00A375D5">
      <w:headerReference w:type="default" r:id="rId13"/>
      <w:footerReference w:type="default" r:id="rId14"/>
      <w:pgSz w:w="11906" w:h="16838"/>
      <w:pgMar w:top="1985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9CF7" w14:textId="77777777" w:rsidR="005E3722" w:rsidRDefault="005E3722">
      <w:r>
        <w:separator/>
      </w:r>
    </w:p>
  </w:endnote>
  <w:endnote w:type="continuationSeparator" w:id="0">
    <w:p w14:paraId="0BFD0065" w14:textId="77777777" w:rsidR="005E3722" w:rsidRDefault="005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4734" w14:textId="77777777" w:rsidR="00DD760B" w:rsidRPr="00B512B5" w:rsidRDefault="00CC185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BD07F0E" wp14:editId="58A6E24C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41376" id="Łącznik prosty 9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DD760B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   TELEFON 22 55 60 246    TELEFON KOM. 695 902 088</w:t>
    </w:r>
  </w:p>
  <w:p w14:paraId="50306085" w14:textId="77777777" w:rsidR="00DD760B" w:rsidRPr="00B512B5" w:rsidRDefault="00DD760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8DBB" w14:textId="77777777" w:rsidR="005E3722" w:rsidRDefault="005E3722">
      <w:r>
        <w:separator/>
      </w:r>
    </w:p>
  </w:footnote>
  <w:footnote w:type="continuationSeparator" w:id="0">
    <w:p w14:paraId="26D0E7E5" w14:textId="77777777" w:rsidR="005E3722" w:rsidRDefault="005E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FCB5" w14:textId="77777777" w:rsidR="00DD760B" w:rsidRDefault="00DD760B" w:rsidP="00435224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C06E93D" wp14:editId="302EBB34">
          <wp:extent cx="1400175" cy="542764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5B6"/>
    <w:multiLevelType w:val="hybridMultilevel"/>
    <w:tmpl w:val="3FE0C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F7E"/>
    <w:multiLevelType w:val="hybridMultilevel"/>
    <w:tmpl w:val="56FA0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95701"/>
    <w:multiLevelType w:val="hybridMultilevel"/>
    <w:tmpl w:val="03EA7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681F"/>
    <w:rsid w:val="00027A92"/>
    <w:rsid w:val="00030E5D"/>
    <w:rsid w:val="000361EC"/>
    <w:rsid w:val="0003660A"/>
    <w:rsid w:val="00042F96"/>
    <w:rsid w:val="00047234"/>
    <w:rsid w:val="00063AD2"/>
    <w:rsid w:val="000651E9"/>
    <w:rsid w:val="00073AA7"/>
    <w:rsid w:val="0007526A"/>
    <w:rsid w:val="000831E7"/>
    <w:rsid w:val="00084553"/>
    <w:rsid w:val="00096500"/>
    <w:rsid w:val="000A74FA"/>
    <w:rsid w:val="000B149D"/>
    <w:rsid w:val="000B1AC5"/>
    <w:rsid w:val="000B7247"/>
    <w:rsid w:val="000D0BB5"/>
    <w:rsid w:val="000F06E2"/>
    <w:rsid w:val="000F7C75"/>
    <w:rsid w:val="0010559C"/>
    <w:rsid w:val="00107844"/>
    <w:rsid w:val="00117785"/>
    <w:rsid w:val="00120FBD"/>
    <w:rsid w:val="0012424D"/>
    <w:rsid w:val="00127908"/>
    <w:rsid w:val="0013159A"/>
    <w:rsid w:val="00135455"/>
    <w:rsid w:val="00143310"/>
    <w:rsid w:val="00144E9C"/>
    <w:rsid w:val="00145480"/>
    <w:rsid w:val="00161094"/>
    <w:rsid w:val="00162415"/>
    <w:rsid w:val="00163DF9"/>
    <w:rsid w:val="001666D6"/>
    <w:rsid w:val="00166B5D"/>
    <w:rsid w:val="001675EF"/>
    <w:rsid w:val="0017028A"/>
    <w:rsid w:val="00190D5A"/>
    <w:rsid w:val="00191E56"/>
    <w:rsid w:val="001979B5"/>
    <w:rsid w:val="001A4AA7"/>
    <w:rsid w:val="001A5F7C"/>
    <w:rsid w:val="001A66F6"/>
    <w:rsid w:val="001A6E5B"/>
    <w:rsid w:val="001A7451"/>
    <w:rsid w:val="001B2003"/>
    <w:rsid w:val="001C1FAD"/>
    <w:rsid w:val="001C6583"/>
    <w:rsid w:val="001C72B3"/>
    <w:rsid w:val="001D0063"/>
    <w:rsid w:val="001D072C"/>
    <w:rsid w:val="001E0438"/>
    <w:rsid w:val="001E188E"/>
    <w:rsid w:val="001E4E06"/>
    <w:rsid w:val="001E4F92"/>
    <w:rsid w:val="001F4A73"/>
    <w:rsid w:val="00205580"/>
    <w:rsid w:val="002119A5"/>
    <w:rsid w:val="002149D9"/>
    <w:rsid w:val="00214BFB"/>
    <w:rsid w:val="002157BB"/>
    <w:rsid w:val="00222492"/>
    <w:rsid w:val="002262B5"/>
    <w:rsid w:val="0023138D"/>
    <w:rsid w:val="00240013"/>
    <w:rsid w:val="0024118E"/>
    <w:rsid w:val="00241BAC"/>
    <w:rsid w:val="00257AB5"/>
    <w:rsid w:val="00260382"/>
    <w:rsid w:val="002652F8"/>
    <w:rsid w:val="00266CB4"/>
    <w:rsid w:val="00267DD1"/>
    <w:rsid w:val="002801AA"/>
    <w:rsid w:val="002859F1"/>
    <w:rsid w:val="00295B34"/>
    <w:rsid w:val="002A4C83"/>
    <w:rsid w:val="002A5D69"/>
    <w:rsid w:val="002B1DBF"/>
    <w:rsid w:val="002C0D5D"/>
    <w:rsid w:val="002C692D"/>
    <w:rsid w:val="002C6ABE"/>
    <w:rsid w:val="002D4FE6"/>
    <w:rsid w:val="002E388C"/>
    <w:rsid w:val="002F1BF3"/>
    <w:rsid w:val="002F4D43"/>
    <w:rsid w:val="002F7141"/>
    <w:rsid w:val="00301B83"/>
    <w:rsid w:val="003056C6"/>
    <w:rsid w:val="00305FD9"/>
    <w:rsid w:val="00311B14"/>
    <w:rsid w:val="00324306"/>
    <w:rsid w:val="00324356"/>
    <w:rsid w:val="00325120"/>
    <w:rsid w:val="003278D6"/>
    <w:rsid w:val="003303F0"/>
    <w:rsid w:val="0034059B"/>
    <w:rsid w:val="0035019C"/>
    <w:rsid w:val="00352764"/>
    <w:rsid w:val="00360248"/>
    <w:rsid w:val="00366A46"/>
    <w:rsid w:val="00377A0D"/>
    <w:rsid w:val="00380EEB"/>
    <w:rsid w:val="0038677D"/>
    <w:rsid w:val="003B2108"/>
    <w:rsid w:val="003D3FF4"/>
    <w:rsid w:val="003D49AD"/>
    <w:rsid w:val="003D7161"/>
    <w:rsid w:val="003E3F9D"/>
    <w:rsid w:val="003E422E"/>
    <w:rsid w:val="003E69E5"/>
    <w:rsid w:val="003F2BC9"/>
    <w:rsid w:val="0040748E"/>
    <w:rsid w:val="00412206"/>
    <w:rsid w:val="00416917"/>
    <w:rsid w:val="00421C47"/>
    <w:rsid w:val="00427E08"/>
    <w:rsid w:val="004349BA"/>
    <w:rsid w:val="00435224"/>
    <w:rsid w:val="0043575C"/>
    <w:rsid w:val="004365C7"/>
    <w:rsid w:val="004425B7"/>
    <w:rsid w:val="00444A85"/>
    <w:rsid w:val="00462CFA"/>
    <w:rsid w:val="004812E1"/>
    <w:rsid w:val="00486DB1"/>
    <w:rsid w:val="00493E10"/>
    <w:rsid w:val="004972E8"/>
    <w:rsid w:val="004A0206"/>
    <w:rsid w:val="004A090A"/>
    <w:rsid w:val="004B468B"/>
    <w:rsid w:val="004C0F9E"/>
    <w:rsid w:val="004C1243"/>
    <w:rsid w:val="004C5C26"/>
    <w:rsid w:val="004E1235"/>
    <w:rsid w:val="004F7E99"/>
    <w:rsid w:val="005003F9"/>
    <w:rsid w:val="0050417B"/>
    <w:rsid w:val="005133CE"/>
    <w:rsid w:val="005203F5"/>
    <w:rsid w:val="00520B00"/>
    <w:rsid w:val="00521BA3"/>
    <w:rsid w:val="00522AA6"/>
    <w:rsid w:val="0052347A"/>
    <w:rsid w:val="00523E0D"/>
    <w:rsid w:val="00525588"/>
    <w:rsid w:val="0052710E"/>
    <w:rsid w:val="00531A6E"/>
    <w:rsid w:val="005413BB"/>
    <w:rsid w:val="005428E6"/>
    <w:rsid w:val="00542C70"/>
    <w:rsid w:val="005442FC"/>
    <w:rsid w:val="00553F74"/>
    <w:rsid w:val="0055631D"/>
    <w:rsid w:val="005573F4"/>
    <w:rsid w:val="00583ED1"/>
    <w:rsid w:val="00593935"/>
    <w:rsid w:val="005973FD"/>
    <w:rsid w:val="00597C68"/>
    <w:rsid w:val="005A382B"/>
    <w:rsid w:val="005A4047"/>
    <w:rsid w:val="005B0143"/>
    <w:rsid w:val="005C0D39"/>
    <w:rsid w:val="005C6232"/>
    <w:rsid w:val="005D6F7A"/>
    <w:rsid w:val="005E0CC7"/>
    <w:rsid w:val="005E3722"/>
    <w:rsid w:val="005E5B88"/>
    <w:rsid w:val="005E78EE"/>
    <w:rsid w:val="005F139F"/>
    <w:rsid w:val="005F1EBD"/>
    <w:rsid w:val="005F5453"/>
    <w:rsid w:val="00601A99"/>
    <w:rsid w:val="006063D0"/>
    <w:rsid w:val="00613C45"/>
    <w:rsid w:val="00615242"/>
    <w:rsid w:val="00626C4E"/>
    <w:rsid w:val="00633D4E"/>
    <w:rsid w:val="0063526F"/>
    <w:rsid w:val="00636691"/>
    <w:rsid w:val="00637E86"/>
    <w:rsid w:val="006422DE"/>
    <w:rsid w:val="006439FA"/>
    <w:rsid w:val="00645E6C"/>
    <w:rsid w:val="0067485D"/>
    <w:rsid w:val="00690EFB"/>
    <w:rsid w:val="00695096"/>
    <w:rsid w:val="0069592C"/>
    <w:rsid w:val="006A2065"/>
    <w:rsid w:val="006A3D88"/>
    <w:rsid w:val="006A4A7A"/>
    <w:rsid w:val="006A58AB"/>
    <w:rsid w:val="006B0848"/>
    <w:rsid w:val="006B733D"/>
    <w:rsid w:val="006C34AE"/>
    <w:rsid w:val="006C67AF"/>
    <w:rsid w:val="006D3DC5"/>
    <w:rsid w:val="006F143B"/>
    <w:rsid w:val="007039EC"/>
    <w:rsid w:val="007077E7"/>
    <w:rsid w:val="0071029C"/>
    <w:rsid w:val="00712B46"/>
    <w:rsid w:val="00715671"/>
    <w:rsid w:val="0071572D"/>
    <w:rsid w:val="007157BA"/>
    <w:rsid w:val="007169F9"/>
    <w:rsid w:val="007174A6"/>
    <w:rsid w:val="007224B3"/>
    <w:rsid w:val="00731303"/>
    <w:rsid w:val="0073205F"/>
    <w:rsid w:val="007402E0"/>
    <w:rsid w:val="0074489D"/>
    <w:rsid w:val="00746549"/>
    <w:rsid w:val="007514AD"/>
    <w:rsid w:val="0075524D"/>
    <w:rsid w:val="007560B0"/>
    <w:rsid w:val="0075710A"/>
    <w:rsid w:val="007604E2"/>
    <w:rsid w:val="007627D7"/>
    <w:rsid w:val="00776C4F"/>
    <w:rsid w:val="007838E4"/>
    <w:rsid w:val="007846DC"/>
    <w:rsid w:val="007A19D8"/>
    <w:rsid w:val="007B5E5F"/>
    <w:rsid w:val="007C2188"/>
    <w:rsid w:val="007D386B"/>
    <w:rsid w:val="007D69A8"/>
    <w:rsid w:val="007E36E4"/>
    <w:rsid w:val="007E3BF8"/>
    <w:rsid w:val="007E3E4F"/>
    <w:rsid w:val="007E5806"/>
    <w:rsid w:val="007F0ACE"/>
    <w:rsid w:val="00800F0E"/>
    <w:rsid w:val="00802FCF"/>
    <w:rsid w:val="00804024"/>
    <w:rsid w:val="00806420"/>
    <w:rsid w:val="0081534D"/>
    <w:rsid w:val="008158B4"/>
    <w:rsid w:val="0081753E"/>
    <w:rsid w:val="008405F3"/>
    <w:rsid w:val="0085010E"/>
    <w:rsid w:val="0085454F"/>
    <w:rsid w:val="0087354F"/>
    <w:rsid w:val="00896985"/>
    <w:rsid w:val="008976EE"/>
    <w:rsid w:val="008A1870"/>
    <w:rsid w:val="008A2FDE"/>
    <w:rsid w:val="008A555C"/>
    <w:rsid w:val="008B0347"/>
    <w:rsid w:val="008C53D0"/>
    <w:rsid w:val="008D527A"/>
    <w:rsid w:val="008D56DA"/>
    <w:rsid w:val="008D5771"/>
    <w:rsid w:val="008E2C74"/>
    <w:rsid w:val="008F1829"/>
    <w:rsid w:val="008F472E"/>
    <w:rsid w:val="009007DC"/>
    <w:rsid w:val="00902556"/>
    <w:rsid w:val="0090338C"/>
    <w:rsid w:val="00906795"/>
    <w:rsid w:val="0091048E"/>
    <w:rsid w:val="0092349E"/>
    <w:rsid w:val="00924ABC"/>
    <w:rsid w:val="00931D1B"/>
    <w:rsid w:val="00940E8F"/>
    <w:rsid w:val="0094100A"/>
    <w:rsid w:val="00950C0A"/>
    <w:rsid w:val="0095309C"/>
    <w:rsid w:val="009549C8"/>
    <w:rsid w:val="009616C4"/>
    <w:rsid w:val="009652AD"/>
    <w:rsid w:val="009652F2"/>
    <w:rsid w:val="009719ED"/>
    <w:rsid w:val="00986C37"/>
    <w:rsid w:val="0099375D"/>
    <w:rsid w:val="00997528"/>
    <w:rsid w:val="0099796A"/>
    <w:rsid w:val="009A7A3C"/>
    <w:rsid w:val="009B6CB3"/>
    <w:rsid w:val="009C1346"/>
    <w:rsid w:val="009C494C"/>
    <w:rsid w:val="009D05C8"/>
    <w:rsid w:val="009D19F2"/>
    <w:rsid w:val="009E3C0B"/>
    <w:rsid w:val="009F3316"/>
    <w:rsid w:val="009F4DB4"/>
    <w:rsid w:val="00A11EC8"/>
    <w:rsid w:val="00A13244"/>
    <w:rsid w:val="00A16CBA"/>
    <w:rsid w:val="00A239AA"/>
    <w:rsid w:val="00A375D5"/>
    <w:rsid w:val="00A439E8"/>
    <w:rsid w:val="00A441F5"/>
    <w:rsid w:val="00A45753"/>
    <w:rsid w:val="00A53423"/>
    <w:rsid w:val="00A62659"/>
    <w:rsid w:val="00A65F20"/>
    <w:rsid w:val="00A75FC7"/>
    <w:rsid w:val="00A76293"/>
    <w:rsid w:val="00A77DA2"/>
    <w:rsid w:val="00A85D9D"/>
    <w:rsid w:val="00A86E34"/>
    <w:rsid w:val="00A92C4C"/>
    <w:rsid w:val="00AA602D"/>
    <w:rsid w:val="00AB572D"/>
    <w:rsid w:val="00AC6168"/>
    <w:rsid w:val="00AD0602"/>
    <w:rsid w:val="00AE2923"/>
    <w:rsid w:val="00AE7F9D"/>
    <w:rsid w:val="00AF0992"/>
    <w:rsid w:val="00AF1794"/>
    <w:rsid w:val="00AF1D03"/>
    <w:rsid w:val="00AF5891"/>
    <w:rsid w:val="00B028F7"/>
    <w:rsid w:val="00B0782B"/>
    <w:rsid w:val="00B17D21"/>
    <w:rsid w:val="00B22863"/>
    <w:rsid w:val="00B272C2"/>
    <w:rsid w:val="00B41502"/>
    <w:rsid w:val="00B46F82"/>
    <w:rsid w:val="00B51024"/>
    <w:rsid w:val="00B512B5"/>
    <w:rsid w:val="00B60CD8"/>
    <w:rsid w:val="00B60F9C"/>
    <w:rsid w:val="00B6769E"/>
    <w:rsid w:val="00B73F22"/>
    <w:rsid w:val="00B76F9A"/>
    <w:rsid w:val="00B810B2"/>
    <w:rsid w:val="00B864FB"/>
    <w:rsid w:val="00B9237D"/>
    <w:rsid w:val="00BA0866"/>
    <w:rsid w:val="00BA26F7"/>
    <w:rsid w:val="00BA79F0"/>
    <w:rsid w:val="00BA7A3A"/>
    <w:rsid w:val="00BB5068"/>
    <w:rsid w:val="00BB7AE8"/>
    <w:rsid w:val="00BD0481"/>
    <w:rsid w:val="00BD4447"/>
    <w:rsid w:val="00BD4449"/>
    <w:rsid w:val="00BE2623"/>
    <w:rsid w:val="00BE3923"/>
    <w:rsid w:val="00BE4BF0"/>
    <w:rsid w:val="00BE5EE5"/>
    <w:rsid w:val="00BE68EE"/>
    <w:rsid w:val="00BE7F63"/>
    <w:rsid w:val="00BF45FB"/>
    <w:rsid w:val="00C06DD1"/>
    <w:rsid w:val="00C123B1"/>
    <w:rsid w:val="00C21071"/>
    <w:rsid w:val="00C2398C"/>
    <w:rsid w:val="00C25569"/>
    <w:rsid w:val="00C27366"/>
    <w:rsid w:val="00C457CF"/>
    <w:rsid w:val="00C63AA8"/>
    <w:rsid w:val="00C716C2"/>
    <w:rsid w:val="00C76FC9"/>
    <w:rsid w:val="00C7783C"/>
    <w:rsid w:val="00C81210"/>
    <w:rsid w:val="00C833D0"/>
    <w:rsid w:val="00C84E1F"/>
    <w:rsid w:val="00C968E4"/>
    <w:rsid w:val="00CA6B58"/>
    <w:rsid w:val="00CB1AE6"/>
    <w:rsid w:val="00CB3E4B"/>
    <w:rsid w:val="00CB3ED4"/>
    <w:rsid w:val="00CB3F86"/>
    <w:rsid w:val="00CC185A"/>
    <w:rsid w:val="00CD34F0"/>
    <w:rsid w:val="00CE0954"/>
    <w:rsid w:val="00CE586B"/>
    <w:rsid w:val="00CE61D7"/>
    <w:rsid w:val="00CF11F7"/>
    <w:rsid w:val="00D1323F"/>
    <w:rsid w:val="00D1536D"/>
    <w:rsid w:val="00D202BA"/>
    <w:rsid w:val="00D251AC"/>
    <w:rsid w:val="00D269D2"/>
    <w:rsid w:val="00D27DD7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11B2"/>
    <w:rsid w:val="00DA753F"/>
    <w:rsid w:val="00DC182C"/>
    <w:rsid w:val="00DC5754"/>
    <w:rsid w:val="00DD3410"/>
    <w:rsid w:val="00DD34A3"/>
    <w:rsid w:val="00DD6056"/>
    <w:rsid w:val="00DD760B"/>
    <w:rsid w:val="00DE1679"/>
    <w:rsid w:val="00DE79BB"/>
    <w:rsid w:val="00DE7C6A"/>
    <w:rsid w:val="00DF2857"/>
    <w:rsid w:val="00DF782B"/>
    <w:rsid w:val="00E02FCF"/>
    <w:rsid w:val="00E03AEF"/>
    <w:rsid w:val="00E102DE"/>
    <w:rsid w:val="00E106AE"/>
    <w:rsid w:val="00E173F9"/>
    <w:rsid w:val="00E24825"/>
    <w:rsid w:val="00E42093"/>
    <w:rsid w:val="00E522AD"/>
    <w:rsid w:val="00E551A2"/>
    <w:rsid w:val="00E64103"/>
    <w:rsid w:val="00E74B86"/>
    <w:rsid w:val="00E76CD1"/>
    <w:rsid w:val="00E8024F"/>
    <w:rsid w:val="00E8219C"/>
    <w:rsid w:val="00E91F73"/>
    <w:rsid w:val="00EA0074"/>
    <w:rsid w:val="00EB37E6"/>
    <w:rsid w:val="00EC6A65"/>
    <w:rsid w:val="00EC75C9"/>
    <w:rsid w:val="00ED4D20"/>
    <w:rsid w:val="00EE4AD8"/>
    <w:rsid w:val="00F139AC"/>
    <w:rsid w:val="00F17CEA"/>
    <w:rsid w:val="00F21EAC"/>
    <w:rsid w:val="00F22082"/>
    <w:rsid w:val="00F30267"/>
    <w:rsid w:val="00F3243D"/>
    <w:rsid w:val="00F427C9"/>
    <w:rsid w:val="00F45E36"/>
    <w:rsid w:val="00F46D0D"/>
    <w:rsid w:val="00F613EB"/>
    <w:rsid w:val="00F92B59"/>
    <w:rsid w:val="00F948BC"/>
    <w:rsid w:val="00F960CF"/>
    <w:rsid w:val="00FA10A3"/>
    <w:rsid w:val="00FA1226"/>
    <w:rsid w:val="00FD09D8"/>
    <w:rsid w:val="00FD7D7F"/>
    <w:rsid w:val="00FE092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4BE49"/>
  <w15:docId w15:val="{03D5CFB9-F9EE-4334-84A2-53C099B8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59"/>
    <w:rsid w:val="00B1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D0BB5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2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1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36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35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3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809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23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385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1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knf/pl/komponenty/img/Raport_o_sytuacji_finansowej_TFI_w_2020_roku_73688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umen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policz_i_nie_przelicz_sie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C400-D911-4BDF-A8E9-92CAF098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Piskorek</dc:creator>
  <cp:lastModifiedBy>Tomasz Chróstny</cp:lastModifiedBy>
  <cp:revision>5</cp:revision>
  <cp:lastPrinted>2021-09-10T09:20:00Z</cp:lastPrinted>
  <dcterms:created xsi:type="dcterms:W3CDTF">2021-09-17T13:26:00Z</dcterms:created>
  <dcterms:modified xsi:type="dcterms:W3CDTF">2021-09-26T22:47:00Z</dcterms:modified>
</cp:coreProperties>
</file>