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C71D" w14:textId="035F8A37" w:rsidR="004D72E6" w:rsidRPr="003F059E" w:rsidRDefault="004D72E6" w:rsidP="004D72E6">
      <w:pPr>
        <w:spacing w:line="360" w:lineRule="auto"/>
        <w:jc w:val="both"/>
        <w:rPr>
          <w:bCs/>
          <w:sz w:val="32"/>
          <w:szCs w:val="32"/>
        </w:rPr>
      </w:pPr>
      <w:r w:rsidRPr="003F059E">
        <w:rPr>
          <w:bCs/>
          <w:sz w:val="32"/>
          <w:szCs w:val="32"/>
        </w:rPr>
        <w:t>KOLEJNE DECYZJE W SPRAW</w:t>
      </w:r>
      <w:r w:rsidR="0087075A">
        <w:rPr>
          <w:bCs/>
          <w:sz w:val="32"/>
          <w:szCs w:val="32"/>
        </w:rPr>
        <w:t>ACH</w:t>
      </w:r>
      <w:r w:rsidRPr="003F059E">
        <w:rPr>
          <w:bCs/>
          <w:sz w:val="32"/>
          <w:szCs w:val="32"/>
        </w:rPr>
        <w:t xml:space="preserve"> ZATORÓW PŁATNICZYCH </w:t>
      </w:r>
    </w:p>
    <w:p w14:paraId="62031843" w14:textId="352DE829" w:rsidR="004D72E6" w:rsidRPr="0087075A" w:rsidRDefault="004D72E6" w:rsidP="0087075A">
      <w:pPr>
        <w:spacing w:after="240" w:line="360" w:lineRule="auto"/>
        <w:ind w:left="426" w:hanging="568"/>
        <w:jc w:val="both"/>
        <w:rPr>
          <w:b/>
          <w:bCs/>
          <w:sz w:val="22"/>
        </w:rPr>
      </w:pPr>
      <w:r w:rsidRPr="004D72E6">
        <w:rPr>
          <w:sz w:val="22"/>
        </w:rPr>
        <w:t>•</w:t>
      </w:r>
      <w:r w:rsidRPr="004D72E6">
        <w:rPr>
          <w:sz w:val="22"/>
        </w:rPr>
        <w:tab/>
      </w:r>
      <w:r w:rsidRPr="0087075A">
        <w:rPr>
          <w:b/>
          <w:bCs/>
          <w:sz w:val="22"/>
        </w:rPr>
        <w:t>Prezes UOKiK Tomasz Chróstny wydał kolejne decyzje w spraw</w:t>
      </w:r>
      <w:r w:rsidR="0000499A" w:rsidRPr="0087075A">
        <w:rPr>
          <w:b/>
          <w:bCs/>
          <w:sz w:val="22"/>
        </w:rPr>
        <w:t>ach</w:t>
      </w:r>
      <w:r w:rsidRPr="0087075A">
        <w:rPr>
          <w:b/>
          <w:bCs/>
          <w:sz w:val="22"/>
        </w:rPr>
        <w:t xml:space="preserve"> zatorów płatniczych. </w:t>
      </w:r>
    </w:p>
    <w:p w14:paraId="540F8C31" w14:textId="4FF18763" w:rsidR="004D72E6" w:rsidRPr="0087075A" w:rsidRDefault="004D72E6" w:rsidP="0087075A">
      <w:pPr>
        <w:spacing w:after="240" w:line="360" w:lineRule="auto"/>
        <w:ind w:left="426" w:hanging="568"/>
        <w:jc w:val="both"/>
        <w:rPr>
          <w:b/>
          <w:bCs/>
          <w:sz w:val="22"/>
        </w:rPr>
      </w:pPr>
      <w:r w:rsidRPr="0087075A">
        <w:rPr>
          <w:b/>
          <w:bCs/>
          <w:sz w:val="22"/>
        </w:rPr>
        <w:t>•</w:t>
      </w:r>
      <w:r w:rsidRPr="0087075A">
        <w:rPr>
          <w:b/>
          <w:bCs/>
          <w:sz w:val="22"/>
        </w:rPr>
        <w:tab/>
        <w:t xml:space="preserve">Na spółki Borg Automotive i </w:t>
      </w:r>
      <w:proofErr w:type="spellStart"/>
      <w:r w:rsidRPr="0087075A">
        <w:rPr>
          <w:b/>
          <w:bCs/>
          <w:sz w:val="22"/>
        </w:rPr>
        <w:t>Sitech</w:t>
      </w:r>
      <w:proofErr w:type="spellEnd"/>
      <w:r w:rsidRPr="0087075A">
        <w:rPr>
          <w:b/>
          <w:bCs/>
          <w:sz w:val="22"/>
        </w:rPr>
        <w:t xml:space="preserve"> nałożył kar</w:t>
      </w:r>
      <w:r w:rsidR="0000499A" w:rsidRPr="0087075A">
        <w:rPr>
          <w:b/>
          <w:bCs/>
          <w:sz w:val="22"/>
        </w:rPr>
        <w:t>y</w:t>
      </w:r>
      <w:r w:rsidRPr="0087075A">
        <w:rPr>
          <w:b/>
          <w:bCs/>
          <w:sz w:val="22"/>
        </w:rPr>
        <w:t xml:space="preserve"> finansow</w:t>
      </w:r>
      <w:r w:rsidR="0000499A" w:rsidRPr="0087075A">
        <w:rPr>
          <w:b/>
          <w:bCs/>
          <w:sz w:val="22"/>
        </w:rPr>
        <w:t>e</w:t>
      </w:r>
      <w:r w:rsidRPr="0087075A">
        <w:rPr>
          <w:b/>
          <w:bCs/>
          <w:sz w:val="22"/>
        </w:rPr>
        <w:t xml:space="preserve"> </w:t>
      </w:r>
      <w:r w:rsidR="008E53BD" w:rsidRPr="0087075A">
        <w:rPr>
          <w:b/>
          <w:bCs/>
          <w:sz w:val="22"/>
        </w:rPr>
        <w:t xml:space="preserve">na </w:t>
      </w:r>
      <w:r w:rsidR="00C3067A" w:rsidRPr="0087075A">
        <w:rPr>
          <w:b/>
          <w:bCs/>
          <w:sz w:val="22"/>
        </w:rPr>
        <w:t xml:space="preserve">łączną </w:t>
      </w:r>
      <w:r w:rsidR="008E53BD" w:rsidRPr="0087075A">
        <w:rPr>
          <w:b/>
          <w:bCs/>
          <w:sz w:val="22"/>
        </w:rPr>
        <w:t>kwotę</w:t>
      </w:r>
      <w:r w:rsidRPr="0087075A">
        <w:rPr>
          <w:b/>
          <w:bCs/>
          <w:sz w:val="22"/>
        </w:rPr>
        <w:t xml:space="preserve"> </w:t>
      </w:r>
      <w:r w:rsidR="000E6AF6" w:rsidRPr="0087075A">
        <w:rPr>
          <w:b/>
          <w:bCs/>
          <w:sz w:val="22"/>
        </w:rPr>
        <w:t xml:space="preserve">ponad </w:t>
      </w:r>
      <w:r w:rsidRPr="0087075A">
        <w:rPr>
          <w:b/>
          <w:bCs/>
          <w:sz w:val="22"/>
        </w:rPr>
        <w:t>374</w:t>
      </w:r>
      <w:r w:rsidR="007E2AE8" w:rsidRPr="0087075A">
        <w:rPr>
          <w:b/>
          <w:bCs/>
          <w:sz w:val="22"/>
        </w:rPr>
        <w:t xml:space="preserve"> </w:t>
      </w:r>
      <w:r w:rsidRPr="0087075A">
        <w:rPr>
          <w:b/>
          <w:bCs/>
          <w:sz w:val="22"/>
        </w:rPr>
        <w:t xml:space="preserve">tys. zł. </w:t>
      </w:r>
    </w:p>
    <w:p w14:paraId="7B02561F" w14:textId="0E07FE19" w:rsidR="004D72E6" w:rsidRPr="0087075A" w:rsidRDefault="004D72E6" w:rsidP="0087075A">
      <w:pPr>
        <w:spacing w:after="240" w:line="360" w:lineRule="auto"/>
        <w:ind w:left="426" w:hanging="568"/>
        <w:jc w:val="both"/>
        <w:rPr>
          <w:b/>
          <w:bCs/>
          <w:sz w:val="22"/>
        </w:rPr>
      </w:pPr>
      <w:r w:rsidRPr="0087075A">
        <w:rPr>
          <w:b/>
          <w:bCs/>
          <w:sz w:val="22"/>
        </w:rPr>
        <w:t>•</w:t>
      </w:r>
      <w:r w:rsidRPr="0087075A">
        <w:rPr>
          <w:b/>
          <w:bCs/>
          <w:sz w:val="22"/>
        </w:rPr>
        <w:tab/>
        <w:t xml:space="preserve">Wobec STS Logistics i </w:t>
      </w:r>
      <w:proofErr w:type="spellStart"/>
      <w:r w:rsidRPr="0087075A">
        <w:rPr>
          <w:b/>
          <w:bCs/>
          <w:sz w:val="22"/>
        </w:rPr>
        <w:t>Agrii</w:t>
      </w:r>
      <w:proofErr w:type="spellEnd"/>
      <w:r w:rsidRPr="0087075A">
        <w:rPr>
          <w:b/>
          <w:bCs/>
          <w:sz w:val="22"/>
        </w:rPr>
        <w:t xml:space="preserve"> Polska odstąpił od</w:t>
      </w:r>
      <w:r w:rsidR="00EF2D46" w:rsidRPr="0087075A">
        <w:rPr>
          <w:b/>
          <w:bCs/>
          <w:sz w:val="22"/>
        </w:rPr>
        <w:t> </w:t>
      </w:r>
      <w:r w:rsidRPr="0087075A">
        <w:rPr>
          <w:b/>
          <w:bCs/>
          <w:sz w:val="22"/>
        </w:rPr>
        <w:t>wymierzenia kary</w:t>
      </w:r>
      <w:r w:rsidR="003F059E" w:rsidRPr="0087075A">
        <w:rPr>
          <w:b/>
          <w:bCs/>
          <w:sz w:val="22"/>
        </w:rPr>
        <w:t xml:space="preserve">, </w:t>
      </w:r>
      <w:r w:rsidR="00C67253" w:rsidRPr="0087075A">
        <w:rPr>
          <w:b/>
          <w:bCs/>
          <w:sz w:val="22"/>
        </w:rPr>
        <w:t xml:space="preserve">w sprawie spółek </w:t>
      </w:r>
      <w:proofErr w:type="spellStart"/>
      <w:r w:rsidR="00C67253" w:rsidRPr="0087075A">
        <w:rPr>
          <w:b/>
          <w:bCs/>
          <w:sz w:val="22"/>
        </w:rPr>
        <w:t>Mondelez</w:t>
      </w:r>
      <w:proofErr w:type="spellEnd"/>
      <w:r w:rsidR="00C67253" w:rsidRPr="0087075A">
        <w:rPr>
          <w:b/>
          <w:bCs/>
          <w:sz w:val="22"/>
        </w:rPr>
        <w:t xml:space="preserve"> Europe i </w:t>
      </w:r>
      <w:proofErr w:type="spellStart"/>
      <w:r w:rsidR="00C67253" w:rsidRPr="0087075A">
        <w:rPr>
          <w:b/>
          <w:bCs/>
          <w:sz w:val="22"/>
        </w:rPr>
        <w:t>Viacon</w:t>
      </w:r>
      <w:proofErr w:type="spellEnd"/>
      <w:r w:rsidR="00C67253" w:rsidRPr="0087075A">
        <w:rPr>
          <w:b/>
          <w:bCs/>
          <w:sz w:val="22"/>
        </w:rPr>
        <w:t xml:space="preserve"> Polska </w:t>
      </w:r>
      <w:r w:rsidR="003F059E" w:rsidRPr="0087075A">
        <w:rPr>
          <w:b/>
          <w:bCs/>
          <w:sz w:val="22"/>
        </w:rPr>
        <w:t>post</w:t>
      </w:r>
      <w:r w:rsidR="007E2AE8" w:rsidRPr="0087075A">
        <w:rPr>
          <w:b/>
          <w:bCs/>
          <w:sz w:val="22"/>
        </w:rPr>
        <w:t>ę</w:t>
      </w:r>
      <w:r w:rsidR="003F059E" w:rsidRPr="0087075A">
        <w:rPr>
          <w:b/>
          <w:bCs/>
          <w:sz w:val="22"/>
        </w:rPr>
        <w:t>powania</w:t>
      </w:r>
      <w:r w:rsidR="00C67253" w:rsidRPr="00C67253">
        <w:rPr>
          <w:b/>
          <w:bCs/>
          <w:sz w:val="22"/>
        </w:rPr>
        <w:t xml:space="preserve"> </w:t>
      </w:r>
      <w:r w:rsidR="00C67253">
        <w:rPr>
          <w:b/>
          <w:bCs/>
          <w:sz w:val="22"/>
        </w:rPr>
        <w:t xml:space="preserve">zostały </w:t>
      </w:r>
      <w:r w:rsidR="00C67253" w:rsidRPr="0087075A">
        <w:rPr>
          <w:b/>
          <w:bCs/>
          <w:sz w:val="22"/>
        </w:rPr>
        <w:t>umorz</w:t>
      </w:r>
      <w:r w:rsidR="00C67253">
        <w:rPr>
          <w:b/>
          <w:bCs/>
          <w:sz w:val="22"/>
        </w:rPr>
        <w:t>one</w:t>
      </w:r>
      <w:r w:rsidR="003F059E" w:rsidRPr="0087075A">
        <w:rPr>
          <w:b/>
          <w:bCs/>
          <w:sz w:val="22"/>
        </w:rPr>
        <w:t>.</w:t>
      </w:r>
    </w:p>
    <w:p w14:paraId="0CBD932B" w14:textId="1202F45C" w:rsidR="003F059E" w:rsidRPr="0087075A" w:rsidRDefault="007E2AE8" w:rsidP="0087075A">
      <w:pPr>
        <w:pStyle w:val="NormalnyWeb"/>
        <w:spacing w:after="240" w:afterAutospacing="0" w:line="360" w:lineRule="auto"/>
        <w:jc w:val="both"/>
        <w:rPr>
          <w:rFonts w:ascii="Trebuchet MS" w:hAnsi="Trebuchet MS"/>
          <w:sz w:val="22"/>
        </w:rPr>
      </w:pPr>
      <w:r w:rsidRPr="0087075A">
        <w:rPr>
          <w:rFonts w:ascii="Trebuchet MS" w:hAnsi="Trebuchet MS"/>
          <w:b/>
          <w:bCs/>
          <w:sz w:val="22"/>
        </w:rPr>
        <w:t>[Warszawa, 12 maja 2021 r.]</w:t>
      </w:r>
      <w:r w:rsidR="00F87AD2" w:rsidRPr="0087075A">
        <w:rPr>
          <w:rFonts w:ascii="Trebuchet MS" w:hAnsi="Trebuchet MS"/>
          <w:sz w:val="22"/>
        </w:rPr>
        <w:t xml:space="preserve"> - </w:t>
      </w:r>
      <w:bookmarkStart w:id="0" w:name="_Hlk71648921"/>
      <w:r w:rsidR="003F059E" w:rsidRPr="0087075A">
        <w:rPr>
          <w:rFonts w:ascii="Trebuchet MS" w:hAnsi="Trebuchet MS"/>
          <w:i/>
          <w:iCs/>
          <w:sz w:val="22"/>
        </w:rPr>
        <w:t xml:space="preserve">Od </w:t>
      </w:r>
      <w:r w:rsidR="00711496">
        <w:rPr>
          <w:rFonts w:ascii="Trebuchet MS" w:hAnsi="Trebuchet MS"/>
          <w:i/>
          <w:iCs/>
          <w:sz w:val="22"/>
        </w:rPr>
        <w:t>połowy</w:t>
      </w:r>
      <w:r w:rsidR="003F059E" w:rsidRPr="0087075A">
        <w:rPr>
          <w:rFonts w:ascii="Trebuchet MS" w:hAnsi="Trebuchet MS"/>
          <w:i/>
          <w:iCs/>
          <w:sz w:val="22"/>
        </w:rPr>
        <w:t xml:space="preserve"> 2020 r. </w:t>
      </w:r>
      <w:r w:rsidR="00C67253">
        <w:rPr>
          <w:rFonts w:ascii="Trebuchet MS" w:hAnsi="Trebuchet MS"/>
          <w:i/>
          <w:iCs/>
          <w:sz w:val="22"/>
        </w:rPr>
        <w:t xml:space="preserve">Prezes </w:t>
      </w:r>
      <w:r w:rsidR="003F059E" w:rsidRPr="0087075A">
        <w:rPr>
          <w:rFonts w:ascii="Trebuchet MS" w:hAnsi="Trebuchet MS"/>
          <w:i/>
          <w:iCs/>
          <w:sz w:val="22"/>
        </w:rPr>
        <w:t xml:space="preserve">UOKiK może interweniować w sprawach związanych ze zwalczaniem zatorów płatniczych. Celem naszych działań w tym zakresie jest poprawa dyscypliny płatniczej polskich przedsiębiorców, zapewnienie stabilności rynku oraz ochrona małych i średnich firm. Wydałem </w:t>
      </w:r>
      <w:r w:rsidR="00C67253" w:rsidRPr="0087075A">
        <w:rPr>
          <w:rFonts w:ascii="Trebuchet MS" w:hAnsi="Trebuchet MS"/>
          <w:i/>
          <w:iCs/>
          <w:sz w:val="22"/>
        </w:rPr>
        <w:t xml:space="preserve">kolejnych </w:t>
      </w:r>
      <w:r w:rsidR="003F059E" w:rsidRPr="0087075A">
        <w:rPr>
          <w:rFonts w:ascii="Trebuchet MS" w:hAnsi="Trebuchet MS"/>
          <w:i/>
          <w:iCs/>
          <w:sz w:val="22"/>
        </w:rPr>
        <w:t>sześć decyzji dotyczących zatorów</w:t>
      </w:r>
      <w:r w:rsidR="00461251" w:rsidRPr="0087075A">
        <w:rPr>
          <w:rFonts w:ascii="Trebuchet MS" w:hAnsi="Trebuchet MS"/>
          <w:i/>
          <w:iCs/>
          <w:sz w:val="22"/>
        </w:rPr>
        <w:t>.</w:t>
      </w:r>
      <w:r w:rsidR="00461251" w:rsidRPr="0087075A">
        <w:rPr>
          <w:rFonts w:ascii="Trebuchet MS" w:hAnsi="Trebuchet MS"/>
          <w:iCs/>
          <w:color w:val="000000" w:themeColor="text1"/>
          <w:sz w:val="22"/>
          <w:szCs w:val="22"/>
        </w:rPr>
        <w:t xml:space="preserve"> </w:t>
      </w:r>
      <w:r w:rsidR="00461251" w:rsidRPr="0087075A">
        <w:rPr>
          <w:rFonts w:ascii="Trebuchet MS" w:hAnsi="Trebuchet MS"/>
          <w:i/>
          <w:color w:val="000000" w:themeColor="text1"/>
          <w:sz w:val="22"/>
          <w:szCs w:val="22"/>
        </w:rPr>
        <w:t xml:space="preserve">W dwóch przypadkach </w:t>
      </w:r>
      <w:r w:rsidR="00461251" w:rsidRPr="0087075A">
        <w:rPr>
          <w:rFonts w:ascii="Trebuchet MS" w:hAnsi="Trebuchet MS"/>
          <w:i/>
          <w:sz w:val="22"/>
        </w:rPr>
        <w:t>nałożyłem kary finansowe, kolejne dwa podmioty uniknęły sankcji pieniężnej ponieważ spełniały ustawowe</w:t>
      </w:r>
      <w:r w:rsidR="00C67253">
        <w:rPr>
          <w:rFonts w:ascii="Trebuchet MS" w:hAnsi="Trebuchet MS"/>
          <w:i/>
          <w:sz w:val="22"/>
        </w:rPr>
        <w:t>, obligatoryjne</w:t>
      </w:r>
      <w:r w:rsidR="00461251" w:rsidRPr="0087075A">
        <w:rPr>
          <w:rFonts w:ascii="Trebuchet MS" w:hAnsi="Trebuchet MS"/>
          <w:i/>
          <w:sz w:val="22"/>
        </w:rPr>
        <w:t xml:space="preserve"> przesłanki do odstąpienia od kary. Ostatnie dwa rozstrzygnięcia to decyzje umarzające postępowania wobec spółek, których zaległości nie przekraczały w okresie 3 kolejnych miesięcy zapisanej w ustawie kwoty 5 mln zł</w:t>
      </w:r>
      <w:r w:rsidR="00461251" w:rsidRPr="0087075A">
        <w:rPr>
          <w:rFonts w:ascii="Trebuchet MS" w:hAnsi="Trebuchet MS"/>
          <w:sz w:val="22"/>
        </w:rPr>
        <w:t xml:space="preserve"> </w:t>
      </w:r>
      <w:bookmarkEnd w:id="0"/>
      <w:r w:rsidR="00F87AD2" w:rsidRPr="0087075A">
        <w:rPr>
          <w:rFonts w:ascii="Trebuchet MS" w:hAnsi="Trebuchet MS"/>
          <w:sz w:val="22"/>
        </w:rPr>
        <w:t>–</w:t>
      </w:r>
      <w:r w:rsidR="003F059E" w:rsidRPr="0087075A">
        <w:rPr>
          <w:rFonts w:ascii="Trebuchet MS" w:hAnsi="Trebuchet MS"/>
          <w:sz w:val="22"/>
        </w:rPr>
        <w:t xml:space="preserve"> </w:t>
      </w:r>
      <w:r w:rsidR="00F87AD2" w:rsidRPr="0087075A">
        <w:rPr>
          <w:rFonts w:ascii="Trebuchet MS" w:hAnsi="Trebuchet MS"/>
          <w:sz w:val="22"/>
        </w:rPr>
        <w:t>mówi Prezes UOKiK Tomasz Chróstny.</w:t>
      </w:r>
    </w:p>
    <w:p w14:paraId="3C79FFF8" w14:textId="2F5DA98E" w:rsidR="006343B6" w:rsidRPr="0087075A" w:rsidRDefault="004D72E6" w:rsidP="0087075A">
      <w:pPr>
        <w:spacing w:after="240" w:line="360" w:lineRule="auto"/>
        <w:jc w:val="both"/>
        <w:rPr>
          <w:b/>
          <w:sz w:val="22"/>
        </w:rPr>
      </w:pPr>
      <w:r w:rsidRPr="0087075A">
        <w:rPr>
          <w:b/>
          <w:sz w:val="22"/>
        </w:rPr>
        <w:t>Decyzje z karami finansowymi</w:t>
      </w:r>
    </w:p>
    <w:p w14:paraId="26C371C6" w14:textId="4694FC03" w:rsidR="0026569D" w:rsidRPr="0087075A" w:rsidRDefault="00F56DDB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>D</w:t>
      </w:r>
      <w:r w:rsidR="0026569D" w:rsidRPr="0087075A">
        <w:rPr>
          <w:sz w:val="22"/>
        </w:rPr>
        <w:t>w</w:t>
      </w:r>
      <w:r w:rsidR="000E6AF6" w:rsidRPr="0087075A">
        <w:rPr>
          <w:sz w:val="22"/>
        </w:rPr>
        <w:t>a</w:t>
      </w:r>
      <w:r w:rsidR="004D72E6" w:rsidRPr="0087075A">
        <w:rPr>
          <w:sz w:val="22"/>
        </w:rPr>
        <w:t xml:space="preserve"> </w:t>
      </w:r>
      <w:r w:rsidR="000E6AF6" w:rsidRPr="0087075A">
        <w:rPr>
          <w:sz w:val="22"/>
        </w:rPr>
        <w:t>rozstrzygnięcia</w:t>
      </w:r>
      <w:r w:rsidRPr="0087075A">
        <w:rPr>
          <w:sz w:val="22"/>
        </w:rPr>
        <w:t>, w których</w:t>
      </w:r>
      <w:r w:rsidR="00C3067A" w:rsidRPr="0087075A">
        <w:rPr>
          <w:sz w:val="22"/>
        </w:rPr>
        <w:t xml:space="preserve"> </w:t>
      </w:r>
      <w:r w:rsidR="00C67253">
        <w:rPr>
          <w:sz w:val="22"/>
        </w:rPr>
        <w:t>organ</w:t>
      </w:r>
      <w:r w:rsidR="004D72E6" w:rsidRPr="0087075A">
        <w:rPr>
          <w:sz w:val="22"/>
        </w:rPr>
        <w:t xml:space="preserve"> </w:t>
      </w:r>
      <w:r w:rsidRPr="0087075A">
        <w:rPr>
          <w:sz w:val="22"/>
        </w:rPr>
        <w:t>nałożył</w:t>
      </w:r>
      <w:r w:rsidR="004D72E6" w:rsidRPr="0087075A">
        <w:rPr>
          <w:sz w:val="22"/>
        </w:rPr>
        <w:t xml:space="preserve"> kar</w:t>
      </w:r>
      <w:r w:rsidR="0026569D" w:rsidRPr="0087075A">
        <w:rPr>
          <w:sz w:val="22"/>
        </w:rPr>
        <w:t>y</w:t>
      </w:r>
      <w:r w:rsidR="004D72E6" w:rsidRPr="0087075A">
        <w:rPr>
          <w:sz w:val="22"/>
        </w:rPr>
        <w:t xml:space="preserve"> finansow</w:t>
      </w:r>
      <w:r w:rsidR="0026569D" w:rsidRPr="0087075A">
        <w:rPr>
          <w:sz w:val="22"/>
        </w:rPr>
        <w:t>e za generowanie zatorów płatniczych</w:t>
      </w:r>
      <w:r w:rsidR="00C67253">
        <w:rPr>
          <w:sz w:val="22"/>
        </w:rPr>
        <w:t>,</w:t>
      </w:r>
      <w:r w:rsidR="004D72E6" w:rsidRPr="0087075A">
        <w:rPr>
          <w:sz w:val="22"/>
        </w:rPr>
        <w:t xml:space="preserve"> dotycz</w:t>
      </w:r>
      <w:r w:rsidR="0026569D" w:rsidRPr="0087075A">
        <w:rPr>
          <w:sz w:val="22"/>
        </w:rPr>
        <w:t>ą</w:t>
      </w:r>
      <w:r w:rsidR="004D72E6" w:rsidRPr="0087075A">
        <w:rPr>
          <w:sz w:val="22"/>
        </w:rPr>
        <w:t xml:space="preserve"> spół</w:t>
      </w:r>
      <w:r w:rsidR="0026569D" w:rsidRPr="0087075A">
        <w:rPr>
          <w:sz w:val="22"/>
        </w:rPr>
        <w:t>e</w:t>
      </w:r>
      <w:r w:rsidR="004D72E6" w:rsidRPr="0087075A">
        <w:rPr>
          <w:sz w:val="22"/>
        </w:rPr>
        <w:t xml:space="preserve">k </w:t>
      </w:r>
      <w:r w:rsidR="0026569D" w:rsidRPr="0087075A">
        <w:rPr>
          <w:sz w:val="22"/>
        </w:rPr>
        <w:t>działających w branży motoryzacyjnej</w:t>
      </w:r>
      <w:r w:rsidR="0026569D" w:rsidRPr="0087075A">
        <w:rPr>
          <w:b/>
          <w:sz w:val="22"/>
        </w:rPr>
        <w:t xml:space="preserve"> - </w:t>
      </w:r>
      <w:r w:rsidR="004D72E6" w:rsidRPr="0087075A">
        <w:rPr>
          <w:b/>
          <w:sz w:val="22"/>
        </w:rPr>
        <w:t xml:space="preserve">Borg Automotive </w:t>
      </w:r>
      <w:r w:rsidR="0026569D" w:rsidRPr="0087075A">
        <w:rPr>
          <w:b/>
          <w:sz w:val="22"/>
        </w:rPr>
        <w:t xml:space="preserve">oraz </w:t>
      </w:r>
      <w:proofErr w:type="spellStart"/>
      <w:r w:rsidR="0026569D" w:rsidRPr="0087075A">
        <w:rPr>
          <w:b/>
          <w:sz w:val="22"/>
        </w:rPr>
        <w:t>Sitech</w:t>
      </w:r>
      <w:proofErr w:type="spellEnd"/>
      <w:r w:rsidRPr="0087075A">
        <w:rPr>
          <w:b/>
          <w:sz w:val="22"/>
        </w:rPr>
        <w:t>.</w:t>
      </w:r>
    </w:p>
    <w:p w14:paraId="3F393C86" w14:textId="758C8BB2" w:rsidR="004D72E6" w:rsidRPr="0087075A" w:rsidRDefault="0026569D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>Wed</w:t>
      </w:r>
      <w:r w:rsidR="00F56DDB" w:rsidRPr="0087075A">
        <w:rPr>
          <w:sz w:val="22"/>
        </w:rPr>
        <w:t>ług</w:t>
      </w:r>
      <w:r w:rsidRPr="0087075A">
        <w:rPr>
          <w:sz w:val="22"/>
        </w:rPr>
        <w:t xml:space="preserve"> ustaleń Urzędu</w:t>
      </w:r>
      <w:r w:rsidR="00F56DDB" w:rsidRPr="0087075A">
        <w:rPr>
          <w:sz w:val="22"/>
        </w:rPr>
        <w:t xml:space="preserve"> s</w:t>
      </w:r>
      <w:r w:rsidRPr="0087075A">
        <w:rPr>
          <w:sz w:val="22"/>
        </w:rPr>
        <w:t>półka Borg</w:t>
      </w:r>
      <w:r w:rsidR="004D72E6" w:rsidRPr="0087075A">
        <w:rPr>
          <w:sz w:val="22"/>
        </w:rPr>
        <w:t xml:space="preserve"> </w:t>
      </w:r>
      <w:r w:rsidR="00481642" w:rsidRPr="0087075A">
        <w:rPr>
          <w:sz w:val="22"/>
        </w:rPr>
        <w:t>z</w:t>
      </w:r>
      <w:r w:rsidR="000E6AF6" w:rsidRPr="0087075A">
        <w:rPr>
          <w:sz w:val="22"/>
        </w:rPr>
        <w:t>e</w:t>
      </w:r>
      <w:r w:rsidR="00FA48A4" w:rsidRPr="0087075A">
        <w:rPr>
          <w:sz w:val="22"/>
        </w:rPr>
        <w:t xml:space="preserve"> </w:t>
      </w:r>
      <w:r w:rsidR="00481642" w:rsidRPr="0087075A">
        <w:rPr>
          <w:sz w:val="22"/>
        </w:rPr>
        <w:t xml:space="preserve">Zduńskiej Woli, </w:t>
      </w:r>
      <w:r w:rsidR="004D72E6" w:rsidRPr="0087075A">
        <w:rPr>
          <w:sz w:val="22"/>
        </w:rPr>
        <w:t>zajmując</w:t>
      </w:r>
      <w:r w:rsidR="00481642" w:rsidRPr="0087075A">
        <w:rPr>
          <w:sz w:val="22"/>
        </w:rPr>
        <w:t>a</w:t>
      </w:r>
      <w:r w:rsidR="004D72E6" w:rsidRPr="0087075A">
        <w:rPr>
          <w:sz w:val="22"/>
        </w:rPr>
        <w:t xml:space="preserve"> się</w:t>
      </w:r>
      <w:r w:rsidR="00481642" w:rsidRPr="0087075A">
        <w:rPr>
          <w:sz w:val="22"/>
        </w:rPr>
        <w:t xml:space="preserve"> m.in.</w:t>
      </w:r>
      <w:r w:rsidR="004D72E6" w:rsidRPr="0087075A">
        <w:rPr>
          <w:sz w:val="22"/>
        </w:rPr>
        <w:t xml:space="preserve"> </w:t>
      </w:r>
      <w:r w:rsidR="00481642" w:rsidRPr="0087075A">
        <w:rPr>
          <w:sz w:val="22"/>
        </w:rPr>
        <w:t>odkupem i</w:t>
      </w:r>
      <w:r w:rsidR="004D72E6" w:rsidRPr="0087075A">
        <w:rPr>
          <w:sz w:val="22"/>
        </w:rPr>
        <w:t xml:space="preserve"> dostarczaniem regenerowanych część samochodowych na europejski rynek wtórny</w:t>
      </w:r>
      <w:r w:rsidR="00481642" w:rsidRPr="0087075A">
        <w:rPr>
          <w:sz w:val="22"/>
        </w:rPr>
        <w:t>, w okresie od lutego do kwietnia 2020 r. opóźniła się z zapłatą wynagrodzenia na rzecz 317 kontrahentów</w:t>
      </w:r>
      <w:r w:rsidR="00B642F0" w:rsidRPr="0087075A">
        <w:rPr>
          <w:sz w:val="22"/>
        </w:rPr>
        <w:t xml:space="preserve"> w łącznej wysokości ponad 8,6 mln zł</w:t>
      </w:r>
      <w:r w:rsidR="00FA48A4" w:rsidRPr="0087075A">
        <w:rPr>
          <w:sz w:val="22"/>
        </w:rPr>
        <w:t>.</w:t>
      </w:r>
      <w:r w:rsidR="00481642" w:rsidRPr="0087075A">
        <w:rPr>
          <w:sz w:val="22"/>
        </w:rPr>
        <w:t xml:space="preserve"> </w:t>
      </w:r>
      <w:r w:rsidR="008E53BD" w:rsidRPr="0087075A">
        <w:rPr>
          <w:sz w:val="22"/>
        </w:rPr>
        <w:t>Największa kwota spełnionego po terminie świadczenia pieniężnego wobec jednego kontrahenta wynosi</w:t>
      </w:r>
      <w:r w:rsidR="00481642" w:rsidRPr="0087075A">
        <w:rPr>
          <w:sz w:val="22"/>
        </w:rPr>
        <w:t>ła</w:t>
      </w:r>
      <w:r w:rsidR="00F56DDB" w:rsidRPr="0087075A">
        <w:rPr>
          <w:sz w:val="22"/>
        </w:rPr>
        <w:t xml:space="preserve"> ponad</w:t>
      </w:r>
      <w:r w:rsidR="008E53BD" w:rsidRPr="0087075A">
        <w:rPr>
          <w:sz w:val="22"/>
        </w:rPr>
        <w:t xml:space="preserve"> </w:t>
      </w:r>
      <w:r w:rsidR="00F56DDB" w:rsidRPr="0087075A">
        <w:rPr>
          <w:sz w:val="22"/>
        </w:rPr>
        <w:t>1,3 mln zł</w:t>
      </w:r>
      <w:r w:rsidR="008E53BD" w:rsidRPr="0087075A">
        <w:rPr>
          <w:sz w:val="22"/>
        </w:rPr>
        <w:t xml:space="preserve">. </w:t>
      </w:r>
      <w:r w:rsidR="00461251" w:rsidRPr="0087075A">
        <w:rPr>
          <w:sz w:val="22"/>
        </w:rPr>
        <w:t>Nałożona przez Prezesa UOKiK kara to ponad 14,5 tys. zł.</w:t>
      </w:r>
    </w:p>
    <w:p w14:paraId="49428AA2" w14:textId="4E0CA6E5" w:rsidR="007A0C26" w:rsidRPr="0087075A" w:rsidRDefault="004D72E6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 xml:space="preserve">Druga decyzja dotyczy spółki </w:t>
      </w:r>
      <w:proofErr w:type="spellStart"/>
      <w:r w:rsidRPr="0087075A">
        <w:rPr>
          <w:b/>
          <w:sz w:val="22"/>
        </w:rPr>
        <w:t>Sitech</w:t>
      </w:r>
      <w:proofErr w:type="spellEnd"/>
      <w:r w:rsidRPr="0087075A">
        <w:rPr>
          <w:b/>
          <w:sz w:val="22"/>
        </w:rPr>
        <w:t xml:space="preserve"> </w:t>
      </w:r>
      <w:r w:rsidR="00481642" w:rsidRPr="0087075A">
        <w:rPr>
          <w:sz w:val="22"/>
        </w:rPr>
        <w:t>należącej</w:t>
      </w:r>
      <w:r w:rsidRPr="0087075A">
        <w:rPr>
          <w:sz w:val="22"/>
        </w:rPr>
        <w:t xml:space="preserve"> do koncernu Volkswagen</w:t>
      </w:r>
      <w:r w:rsidR="00481642" w:rsidRPr="0087075A">
        <w:rPr>
          <w:sz w:val="22"/>
        </w:rPr>
        <w:t xml:space="preserve"> i</w:t>
      </w:r>
      <w:r w:rsidR="007A0C26" w:rsidRPr="0087075A">
        <w:rPr>
          <w:sz w:val="22"/>
        </w:rPr>
        <w:t> </w:t>
      </w:r>
      <w:r w:rsidR="00481642" w:rsidRPr="0087075A">
        <w:rPr>
          <w:sz w:val="22"/>
        </w:rPr>
        <w:t xml:space="preserve">specjalizującej </w:t>
      </w:r>
      <w:r w:rsidRPr="0087075A">
        <w:rPr>
          <w:sz w:val="22"/>
        </w:rPr>
        <w:t xml:space="preserve">się przede wszystkim w produkcji metalowych stelaży siedzisk samochodowych. </w:t>
      </w:r>
      <w:r w:rsidR="007A0C26" w:rsidRPr="0087075A">
        <w:rPr>
          <w:sz w:val="22"/>
        </w:rPr>
        <w:t xml:space="preserve">Przeprowadzone postępowanie wykazało, że generowane przez </w:t>
      </w:r>
      <w:r w:rsidR="00F2232E" w:rsidRPr="0087075A">
        <w:rPr>
          <w:sz w:val="22"/>
        </w:rPr>
        <w:t xml:space="preserve">przedsiębiorcę </w:t>
      </w:r>
      <w:r w:rsidR="007A0C26" w:rsidRPr="0087075A">
        <w:rPr>
          <w:sz w:val="22"/>
        </w:rPr>
        <w:t xml:space="preserve">opóźnienia w </w:t>
      </w:r>
      <w:r w:rsidR="007A0C26" w:rsidRPr="0087075A">
        <w:rPr>
          <w:sz w:val="22"/>
        </w:rPr>
        <w:lastRenderedPageBreak/>
        <w:t>okresie od lutego do kwietnia 2020 r. dotknęły nawet 433 polskich kontrahentów</w:t>
      </w:r>
      <w:r w:rsidR="00F2232E" w:rsidRPr="0087075A">
        <w:rPr>
          <w:sz w:val="22"/>
        </w:rPr>
        <w:t>. Ł</w:t>
      </w:r>
      <w:r w:rsidR="007A0C26" w:rsidRPr="0087075A">
        <w:rPr>
          <w:sz w:val="22"/>
        </w:rPr>
        <w:t>ączna kwota świadczeń pieniężnych, które spółka nie zapłaciła w terminie</w:t>
      </w:r>
      <w:r w:rsidR="0072509D">
        <w:rPr>
          <w:sz w:val="22"/>
        </w:rPr>
        <w:t>,</w:t>
      </w:r>
      <w:r w:rsidR="007A0C26" w:rsidRPr="0087075A">
        <w:rPr>
          <w:sz w:val="22"/>
        </w:rPr>
        <w:t xml:space="preserve"> wynosiła prawie 64 mln złotych (ponad 3 tysiące faktur). W skrajnych przypadkach </w:t>
      </w:r>
      <w:r w:rsidR="006343B6" w:rsidRPr="0087075A">
        <w:rPr>
          <w:sz w:val="22"/>
        </w:rPr>
        <w:t xml:space="preserve">partnerzy handlowi przedsiębiorcy </w:t>
      </w:r>
      <w:r w:rsidR="007A0C26" w:rsidRPr="0087075A">
        <w:rPr>
          <w:sz w:val="22"/>
        </w:rPr>
        <w:t>musieli</w:t>
      </w:r>
      <w:r w:rsidR="005A6593" w:rsidRPr="0087075A">
        <w:rPr>
          <w:sz w:val="22"/>
        </w:rPr>
        <w:t xml:space="preserve"> </w:t>
      </w:r>
      <w:r w:rsidR="007A0C26" w:rsidRPr="0087075A">
        <w:rPr>
          <w:sz w:val="22"/>
        </w:rPr>
        <w:t xml:space="preserve">czekać na zapłatę należnego im wynagrodzenia nawet 119 dni.  </w:t>
      </w:r>
      <w:r w:rsidR="00B642F0" w:rsidRPr="0087075A">
        <w:rPr>
          <w:sz w:val="22"/>
        </w:rPr>
        <w:t>Sankcja nałożona przez Prezesa UOKiK wyniosła w tym przypadku ponad 358 tys. zł.</w:t>
      </w:r>
    </w:p>
    <w:p w14:paraId="00264ED5" w14:textId="7523E0C1" w:rsidR="004D72E6" w:rsidRPr="0087075A" w:rsidRDefault="004D72E6" w:rsidP="0087075A">
      <w:pPr>
        <w:spacing w:after="240" w:line="360" w:lineRule="auto"/>
        <w:jc w:val="both"/>
        <w:rPr>
          <w:b/>
          <w:sz w:val="22"/>
        </w:rPr>
      </w:pPr>
      <w:r w:rsidRPr="0087075A">
        <w:rPr>
          <w:b/>
          <w:sz w:val="22"/>
        </w:rPr>
        <w:t xml:space="preserve">Dwa odstąpienia od wymierzenia kary </w:t>
      </w:r>
    </w:p>
    <w:p w14:paraId="4DC8A33A" w14:textId="62D9E8CC" w:rsidR="00100406" w:rsidRPr="0087075A" w:rsidRDefault="004D72E6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>Prezes U</w:t>
      </w:r>
      <w:r w:rsidR="002004C6" w:rsidRPr="0087075A">
        <w:rPr>
          <w:sz w:val="22"/>
        </w:rPr>
        <w:t>OKiK</w:t>
      </w:r>
      <w:r w:rsidRPr="0087075A">
        <w:rPr>
          <w:sz w:val="22"/>
        </w:rPr>
        <w:t xml:space="preserve"> zgodnie z obowiązującymi przepisami </w:t>
      </w:r>
      <w:r w:rsidR="007A0C26" w:rsidRPr="0087075A">
        <w:rPr>
          <w:sz w:val="22"/>
        </w:rPr>
        <w:t>ma obowiązek odstąpić</w:t>
      </w:r>
      <w:r w:rsidRPr="0087075A">
        <w:rPr>
          <w:sz w:val="22"/>
        </w:rPr>
        <w:t xml:space="preserve"> od wymierzenia kary pieniężnej</w:t>
      </w:r>
      <w:r w:rsidR="005A6593" w:rsidRPr="0087075A">
        <w:rPr>
          <w:sz w:val="22"/>
        </w:rPr>
        <w:t>,</w:t>
      </w:r>
      <w:r w:rsidRPr="0087075A">
        <w:rPr>
          <w:sz w:val="22"/>
        </w:rPr>
        <w:t xml:space="preserve"> jeśli świadczenia pieniężne nieotrzyma</w:t>
      </w:r>
      <w:r w:rsidR="002004C6" w:rsidRPr="0087075A">
        <w:rPr>
          <w:sz w:val="22"/>
        </w:rPr>
        <w:t>ne</w:t>
      </w:r>
      <w:r w:rsidR="007A0C26" w:rsidRPr="0087075A">
        <w:rPr>
          <w:sz w:val="22"/>
        </w:rPr>
        <w:t xml:space="preserve"> lub</w:t>
      </w:r>
      <w:r w:rsidRPr="0087075A">
        <w:rPr>
          <w:sz w:val="22"/>
        </w:rPr>
        <w:t xml:space="preserve"> </w:t>
      </w:r>
      <w:r w:rsidR="007A0C26" w:rsidRPr="0087075A">
        <w:rPr>
          <w:sz w:val="22"/>
        </w:rPr>
        <w:t xml:space="preserve">otrzymane </w:t>
      </w:r>
      <w:r w:rsidRPr="0087075A">
        <w:rPr>
          <w:sz w:val="22"/>
        </w:rPr>
        <w:t xml:space="preserve">po terminie przez </w:t>
      </w:r>
      <w:r w:rsidR="007A0C26" w:rsidRPr="0087075A">
        <w:rPr>
          <w:sz w:val="22"/>
        </w:rPr>
        <w:t>stronę postępowania</w:t>
      </w:r>
      <w:r w:rsidRPr="0087075A">
        <w:rPr>
          <w:sz w:val="22"/>
        </w:rPr>
        <w:t xml:space="preserve"> są wyższe niż </w:t>
      </w:r>
      <w:r w:rsidR="007A0C26" w:rsidRPr="0087075A">
        <w:rPr>
          <w:sz w:val="22"/>
        </w:rPr>
        <w:t xml:space="preserve">suma opóźnień, którą sama wygenerowała </w:t>
      </w:r>
      <w:r w:rsidRPr="0087075A">
        <w:rPr>
          <w:sz w:val="22"/>
        </w:rPr>
        <w:t>w badanym</w:t>
      </w:r>
      <w:r w:rsidR="00090893" w:rsidRPr="0087075A">
        <w:rPr>
          <w:sz w:val="22"/>
        </w:rPr>
        <w:t xml:space="preserve">  </w:t>
      </w:r>
      <w:r w:rsidR="007A0C26" w:rsidRPr="0087075A">
        <w:rPr>
          <w:sz w:val="22"/>
        </w:rPr>
        <w:t xml:space="preserve"> okresie</w:t>
      </w:r>
      <w:r w:rsidR="00F2232E" w:rsidRPr="0087075A">
        <w:rPr>
          <w:sz w:val="22"/>
        </w:rPr>
        <w:t xml:space="preserve"> trzech miesięcy</w:t>
      </w:r>
      <w:r w:rsidRPr="0087075A">
        <w:rPr>
          <w:sz w:val="22"/>
        </w:rPr>
        <w:t xml:space="preserve">. </w:t>
      </w:r>
      <w:r w:rsidR="00100406" w:rsidRPr="0087075A">
        <w:rPr>
          <w:sz w:val="22"/>
        </w:rPr>
        <w:t>Taka sytuacja wystąpiła w postępowania</w:t>
      </w:r>
      <w:r w:rsidR="00F2232E" w:rsidRPr="0087075A">
        <w:rPr>
          <w:sz w:val="22"/>
        </w:rPr>
        <w:t>ch</w:t>
      </w:r>
      <w:r w:rsidR="00461251" w:rsidRPr="0087075A">
        <w:rPr>
          <w:sz w:val="22"/>
        </w:rPr>
        <w:t xml:space="preserve"> </w:t>
      </w:r>
      <w:r w:rsidR="00100406" w:rsidRPr="0087075A">
        <w:rPr>
          <w:sz w:val="22"/>
        </w:rPr>
        <w:t xml:space="preserve">prowadzonych przeciwko </w:t>
      </w:r>
      <w:r w:rsidRPr="0087075A">
        <w:rPr>
          <w:b/>
          <w:sz w:val="22"/>
        </w:rPr>
        <w:t xml:space="preserve">STS Logistics </w:t>
      </w:r>
      <w:r w:rsidRPr="0087075A">
        <w:rPr>
          <w:sz w:val="22"/>
        </w:rPr>
        <w:t xml:space="preserve">oraz </w:t>
      </w:r>
      <w:proofErr w:type="spellStart"/>
      <w:r w:rsidRPr="0087075A">
        <w:rPr>
          <w:b/>
          <w:sz w:val="22"/>
        </w:rPr>
        <w:t>Agrii</w:t>
      </w:r>
      <w:proofErr w:type="spellEnd"/>
      <w:r w:rsidRPr="0087075A">
        <w:rPr>
          <w:b/>
          <w:sz w:val="22"/>
        </w:rPr>
        <w:t xml:space="preserve"> Polska</w:t>
      </w:r>
      <w:r w:rsidR="005A6593" w:rsidRPr="0087075A">
        <w:rPr>
          <w:b/>
          <w:sz w:val="22"/>
        </w:rPr>
        <w:t xml:space="preserve">. </w:t>
      </w:r>
    </w:p>
    <w:p w14:paraId="51E157CC" w14:textId="7A175748" w:rsidR="004D72E6" w:rsidRPr="0087075A" w:rsidRDefault="004D72E6" w:rsidP="0087075A">
      <w:pPr>
        <w:spacing w:after="240" w:line="360" w:lineRule="auto"/>
        <w:jc w:val="both"/>
        <w:rPr>
          <w:b/>
          <w:sz w:val="22"/>
        </w:rPr>
      </w:pPr>
      <w:r w:rsidRPr="0087075A">
        <w:rPr>
          <w:b/>
          <w:sz w:val="22"/>
        </w:rPr>
        <w:t>Dwie decyzje o umorzeniu postępowania</w:t>
      </w:r>
    </w:p>
    <w:p w14:paraId="4CF20A65" w14:textId="584EB59E" w:rsidR="004D72E6" w:rsidRPr="0087075A" w:rsidRDefault="004D72E6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>Ostatnie dw</w:t>
      </w:r>
      <w:r w:rsidR="00B625CF" w:rsidRPr="0087075A">
        <w:rPr>
          <w:sz w:val="22"/>
        </w:rPr>
        <w:t>a</w:t>
      </w:r>
      <w:r w:rsidRPr="0087075A">
        <w:rPr>
          <w:sz w:val="22"/>
        </w:rPr>
        <w:t xml:space="preserve"> </w:t>
      </w:r>
      <w:r w:rsidR="00B625CF" w:rsidRPr="0087075A">
        <w:rPr>
          <w:sz w:val="22"/>
        </w:rPr>
        <w:t>rozstrzygnięcia</w:t>
      </w:r>
      <w:r w:rsidRPr="0087075A">
        <w:rPr>
          <w:sz w:val="22"/>
        </w:rPr>
        <w:t xml:space="preserve"> dotycz</w:t>
      </w:r>
      <w:r w:rsidR="006343B6" w:rsidRPr="0087075A">
        <w:rPr>
          <w:sz w:val="22"/>
        </w:rPr>
        <w:t>ą</w:t>
      </w:r>
      <w:r w:rsidR="00B625CF" w:rsidRPr="0087075A">
        <w:rPr>
          <w:sz w:val="22"/>
        </w:rPr>
        <w:t>:</w:t>
      </w:r>
      <w:r w:rsidRPr="0087075A">
        <w:rPr>
          <w:sz w:val="22"/>
        </w:rPr>
        <w:t xml:space="preserve"> </w:t>
      </w:r>
      <w:proofErr w:type="spellStart"/>
      <w:r w:rsidRPr="0087075A">
        <w:rPr>
          <w:b/>
          <w:bCs/>
          <w:sz w:val="22"/>
        </w:rPr>
        <w:t>Mondelez</w:t>
      </w:r>
      <w:proofErr w:type="spellEnd"/>
      <w:r w:rsidRPr="0087075A">
        <w:rPr>
          <w:b/>
          <w:bCs/>
          <w:sz w:val="22"/>
        </w:rPr>
        <w:t xml:space="preserve"> Europe</w:t>
      </w:r>
      <w:r w:rsidR="00F2232E" w:rsidRPr="0087075A">
        <w:rPr>
          <w:sz w:val="22"/>
        </w:rPr>
        <w:t xml:space="preserve"> ze Szwajcarii, która prowadzi w </w:t>
      </w:r>
      <w:r w:rsidRPr="0087075A">
        <w:rPr>
          <w:sz w:val="22"/>
        </w:rPr>
        <w:t xml:space="preserve">Polsce działalność </w:t>
      </w:r>
      <w:r w:rsidR="00B625CF" w:rsidRPr="0087075A">
        <w:rPr>
          <w:sz w:val="22"/>
        </w:rPr>
        <w:t>za pośrednictwem oddziału oraz</w:t>
      </w:r>
      <w:r w:rsidRPr="0087075A">
        <w:rPr>
          <w:sz w:val="22"/>
        </w:rPr>
        <w:t xml:space="preserve"> </w:t>
      </w:r>
      <w:proofErr w:type="spellStart"/>
      <w:r w:rsidRPr="0087075A">
        <w:rPr>
          <w:b/>
          <w:bCs/>
          <w:sz w:val="22"/>
        </w:rPr>
        <w:t>Viacon</w:t>
      </w:r>
      <w:proofErr w:type="spellEnd"/>
      <w:r w:rsidR="00F2232E" w:rsidRPr="0087075A">
        <w:rPr>
          <w:b/>
          <w:bCs/>
          <w:sz w:val="22"/>
        </w:rPr>
        <w:t xml:space="preserve"> Polska</w:t>
      </w:r>
      <w:r w:rsidRPr="0087075A">
        <w:rPr>
          <w:sz w:val="22"/>
        </w:rPr>
        <w:t xml:space="preserve">. </w:t>
      </w:r>
      <w:r w:rsidR="00B625CF" w:rsidRPr="0087075A">
        <w:rPr>
          <w:sz w:val="22"/>
        </w:rPr>
        <w:t>Obie s</w:t>
      </w:r>
      <w:r w:rsidRPr="0087075A">
        <w:rPr>
          <w:sz w:val="22"/>
        </w:rPr>
        <w:t xml:space="preserve">półki nie przekroczyły </w:t>
      </w:r>
      <w:r w:rsidR="00B625CF" w:rsidRPr="0087075A">
        <w:rPr>
          <w:sz w:val="22"/>
        </w:rPr>
        <w:t>w okresie od stycznia do kwietnia 2020 r</w:t>
      </w:r>
      <w:r w:rsidR="006343B6" w:rsidRPr="0087075A">
        <w:rPr>
          <w:sz w:val="22"/>
        </w:rPr>
        <w:t>.</w:t>
      </w:r>
      <w:r w:rsidR="00E94703" w:rsidRPr="0087075A" w:rsidDel="00E94703">
        <w:rPr>
          <w:sz w:val="22"/>
        </w:rPr>
        <w:t xml:space="preserve"> </w:t>
      </w:r>
      <w:r w:rsidR="00E94703" w:rsidRPr="0087075A">
        <w:rPr>
          <w:sz w:val="22"/>
        </w:rPr>
        <w:t>p</w:t>
      </w:r>
      <w:r w:rsidR="003A7882">
        <w:rPr>
          <w:sz w:val="22"/>
        </w:rPr>
        <w:t>ięcio</w:t>
      </w:r>
      <w:r w:rsidRPr="0087075A">
        <w:rPr>
          <w:sz w:val="22"/>
        </w:rPr>
        <w:t>m</w:t>
      </w:r>
      <w:r w:rsidR="00B625CF" w:rsidRPr="0087075A">
        <w:rPr>
          <w:sz w:val="22"/>
        </w:rPr>
        <w:t>ilionowego progu opóźnień, dlatego Prezes UOKiK umorzył wobec nich postępowania.</w:t>
      </w:r>
      <w:r w:rsidRPr="0087075A">
        <w:rPr>
          <w:sz w:val="22"/>
        </w:rPr>
        <w:t xml:space="preserve"> </w:t>
      </w:r>
    </w:p>
    <w:p w14:paraId="6820DC14" w14:textId="555435F3" w:rsidR="00AC1761" w:rsidRPr="0087075A" w:rsidRDefault="00975EBF" w:rsidP="0087075A">
      <w:pPr>
        <w:spacing w:after="240" w:line="360" w:lineRule="auto"/>
        <w:jc w:val="both"/>
        <w:rPr>
          <w:b/>
          <w:sz w:val="22"/>
        </w:rPr>
      </w:pPr>
      <w:r w:rsidRPr="0087075A">
        <w:rPr>
          <w:b/>
          <w:sz w:val="22"/>
        </w:rPr>
        <w:t>Nadmierne opóźnianie się ze spełnianiem świadczeń pieniężnych</w:t>
      </w:r>
      <w:r w:rsidR="00AC1761" w:rsidRPr="0087075A">
        <w:rPr>
          <w:b/>
          <w:sz w:val="22"/>
        </w:rPr>
        <w:t xml:space="preserve"> oraz sposób karania</w:t>
      </w:r>
    </w:p>
    <w:p w14:paraId="59668130" w14:textId="51172E08" w:rsidR="00AC1761" w:rsidRPr="0087075A" w:rsidRDefault="006343B6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>Interwencja</w:t>
      </w:r>
      <w:r w:rsidR="00AC1761" w:rsidRPr="0087075A">
        <w:rPr>
          <w:sz w:val="22"/>
        </w:rPr>
        <w:t xml:space="preserve"> Prezes</w:t>
      </w:r>
      <w:r w:rsidRPr="0087075A">
        <w:rPr>
          <w:sz w:val="22"/>
        </w:rPr>
        <w:t>a</w:t>
      </w:r>
      <w:r w:rsidR="00AC1761" w:rsidRPr="0087075A">
        <w:rPr>
          <w:sz w:val="22"/>
        </w:rPr>
        <w:t xml:space="preserve"> Urzędu</w:t>
      </w:r>
      <w:r w:rsidRPr="0087075A">
        <w:rPr>
          <w:sz w:val="22"/>
        </w:rPr>
        <w:t xml:space="preserve"> w sprawach dotyczących zatorów płatniczych jest możliwa, jeśli </w:t>
      </w:r>
      <w:r w:rsidR="00AC1761" w:rsidRPr="0087075A">
        <w:rPr>
          <w:sz w:val="22"/>
        </w:rPr>
        <w:t xml:space="preserve"> w ciągu 3 kolejnych miesięcy suma wartości wszystkich świadczeń pieniężnych niespełnionych lub spełnionych po terminie przez przedsiębiorcę na rzecz jego kontrahentów przekracza 5 mln złotych.  Sposób obliczenia kary reguluje ściśle ustawa i stanowi sumę kar jednostkowych za każde opóźnienie. Wed</w:t>
      </w:r>
      <w:r w:rsidR="00F2232E" w:rsidRPr="0087075A">
        <w:rPr>
          <w:sz w:val="22"/>
        </w:rPr>
        <w:t>ług</w:t>
      </w:r>
      <w:r w:rsidR="00AC1761" w:rsidRPr="0087075A">
        <w:rPr>
          <w:sz w:val="22"/>
        </w:rPr>
        <w:t xml:space="preserve"> wzoru wysokość kar jednostkowych zależna jest od wysokości opóźnionego świadczenia, długości opóźnienia oraz wysokości odsetek ustawowych</w:t>
      </w:r>
      <w:r w:rsidR="0000499A" w:rsidRPr="0087075A">
        <w:rPr>
          <w:sz w:val="22"/>
        </w:rPr>
        <w:t xml:space="preserve"> za opóźnienie w transakcjach handlowych</w:t>
      </w:r>
      <w:r w:rsidR="00AC1761" w:rsidRPr="0087075A">
        <w:rPr>
          <w:sz w:val="22"/>
        </w:rPr>
        <w:t xml:space="preserve">. </w:t>
      </w:r>
    </w:p>
    <w:p w14:paraId="63ADAFDD" w14:textId="43BFFB49" w:rsidR="004D72E6" w:rsidRPr="0087075A" w:rsidRDefault="004B4698" w:rsidP="0087075A">
      <w:pPr>
        <w:spacing w:after="240" w:line="360" w:lineRule="auto"/>
        <w:jc w:val="both"/>
        <w:rPr>
          <w:b/>
          <w:sz w:val="22"/>
        </w:rPr>
      </w:pPr>
      <w:r w:rsidRPr="0087075A">
        <w:rPr>
          <w:b/>
          <w:sz w:val="22"/>
        </w:rPr>
        <w:t xml:space="preserve">Nowe postępowania </w:t>
      </w:r>
    </w:p>
    <w:p w14:paraId="4F6FA8F3" w14:textId="1524B699" w:rsidR="00B21D7E" w:rsidRPr="0087075A" w:rsidRDefault="00F42CFD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>Równolegle,</w:t>
      </w:r>
      <w:r w:rsidR="004D72E6" w:rsidRPr="0087075A">
        <w:rPr>
          <w:sz w:val="22"/>
        </w:rPr>
        <w:t xml:space="preserve"> Prezes UOKiK </w:t>
      </w:r>
      <w:r w:rsidRPr="0087075A">
        <w:rPr>
          <w:sz w:val="22"/>
        </w:rPr>
        <w:t>nie przestaje interweniować u kolejnych podmiotów, co</w:t>
      </w:r>
      <w:r w:rsidR="00B21D7E" w:rsidRPr="0087075A">
        <w:rPr>
          <w:sz w:val="22"/>
        </w:rPr>
        <w:t> </w:t>
      </w:r>
      <w:r w:rsidRPr="0087075A">
        <w:rPr>
          <w:sz w:val="22"/>
        </w:rPr>
        <w:t>do</w:t>
      </w:r>
      <w:r w:rsidR="00B21D7E" w:rsidRPr="0087075A">
        <w:rPr>
          <w:sz w:val="22"/>
        </w:rPr>
        <w:t> </w:t>
      </w:r>
      <w:r w:rsidRPr="0087075A">
        <w:rPr>
          <w:sz w:val="22"/>
        </w:rPr>
        <w:t xml:space="preserve">których ma podejrzenia, że nadmiernie opóźniają się z zapłatą swoim kontrahentom. Tym razem przeprowadzona </w:t>
      </w:r>
      <w:r w:rsidR="0087075A" w:rsidRPr="0087075A">
        <w:rPr>
          <w:sz w:val="22"/>
        </w:rPr>
        <w:t>przez Urząd działania</w:t>
      </w:r>
      <w:r w:rsidRPr="0087075A">
        <w:rPr>
          <w:sz w:val="22"/>
        </w:rPr>
        <w:t xml:space="preserve"> wykazała ryzyko powstania zatorów płatniczych</w:t>
      </w:r>
      <w:r w:rsidR="004F618A" w:rsidRPr="0087075A">
        <w:rPr>
          <w:sz w:val="22"/>
        </w:rPr>
        <w:t xml:space="preserve"> m. in.  w branży</w:t>
      </w:r>
      <w:r w:rsidRPr="0087075A">
        <w:rPr>
          <w:sz w:val="22"/>
        </w:rPr>
        <w:t xml:space="preserve"> rolno-spożywczej. </w:t>
      </w:r>
      <w:r w:rsidR="00C27EA9" w:rsidRPr="0087075A">
        <w:rPr>
          <w:sz w:val="22"/>
        </w:rPr>
        <w:t xml:space="preserve">Analiza </w:t>
      </w:r>
      <w:r w:rsidR="00C86B3D" w:rsidRPr="0087075A">
        <w:rPr>
          <w:sz w:val="22"/>
        </w:rPr>
        <w:t>U</w:t>
      </w:r>
      <w:r w:rsidR="0087075A" w:rsidRPr="0087075A">
        <w:rPr>
          <w:sz w:val="22"/>
        </w:rPr>
        <w:t>OKiK</w:t>
      </w:r>
      <w:r w:rsidRPr="0087075A">
        <w:rPr>
          <w:sz w:val="22"/>
        </w:rPr>
        <w:t xml:space="preserve"> </w:t>
      </w:r>
      <w:r w:rsidR="00C27EA9" w:rsidRPr="0087075A">
        <w:rPr>
          <w:sz w:val="22"/>
        </w:rPr>
        <w:t>wykazała</w:t>
      </w:r>
      <w:r w:rsidR="0087075A" w:rsidRPr="0087075A">
        <w:rPr>
          <w:sz w:val="22"/>
        </w:rPr>
        <w:t xml:space="preserve"> również</w:t>
      </w:r>
      <w:r w:rsidR="00C27EA9" w:rsidRPr="0087075A">
        <w:rPr>
          <w:sz w:val="22"/>
        </w:rPr>
        <w:t xml:space="preserve"> </w:t>
      </w:r>
      <w:r w:rsidRPr="0087075A">
        <w:rPr>
          <w:sz w:val="22"/>
        </w:rPr>
        <w:t xml:space="preserve">większe </w:t>
      </w:r>
      <w:r w:rsidRPr="0087075A">
        <w:rPr>
          <w:sz w:val="22"/>
        </w:rPr>
        <w:lastRenderedPageBreak/>
        <w:t>prawdopodobieństwo nadmiernego opóźniania się ze spełnianiem świadczeń pieniężnych w</w:t>
      </w:r>
      <w:r w:rsidR="0000499A" w:rsidRPr="0087075A">
        <w:rPr>
          <w:sz w:val="22"/>
        </w:rPr>
        <w:t> </w:t>
      </w:r>
      <w:r w:rsidRPr="0087075A">
        <w:rPr>
          <w:sz w:val="22"/>
        </w:rPr>
        <w:t>sytuacji, gdy wystawc</w:t>
      </w:r>
      <w:r w:rsidR="0087075A" w:rsidRPr="0087075A">
        <w:rPr>
          <w:sz w:val="22"/>
        </w:rPr>
        <w:t>ą</w:t>
      </w:r>
      <w:r w:rsidRPr="0087075A">
        <w:rPr>
          <w:sz w:val="22"/>
        </w:rPr>
        <w:t xml:space="preserve"> faktury jest osoba indywidualna prowadząca działalność gospodarczą, </w:t>
      </w:r>
      <w:r w:rsidR="0000499A" w:rsidRPr="0087075A">
        <w:rPr>
          <w:sz w:val="22"/>
        </w:rPr>
        <w:t>a nabywcą towaru lub usług</w:t>
      </w:r>
      <w:r w:rsidRPr="0087075A">
        <w:rPr>
          <w:sz w:val="22"/>
        </w:rPr>
        <w:t xml:space="preserve"> spół</w:t>
      </w:r>
      <w:r w:rsidR="0000499A" w:rsidRPr="0087075A">
        <w:rPr>
          <w:sz w:val="22"/>
        </w:rPr>
        <w:t>k</w:t>
      </w:r>
      <w:r w:rsidR="004F618A" w:rsidRPr="0087075A">
        <w:rPr>
          <w:sz w:val="22"/>
        </w:rPr>
        <w:t>a</w:t>
      </w:r>
      <w:r w:rsidRPr="0087075A">
        <w:rPr>
          <w:sz w:val="22"/>
        </w:rPr>
        <w:t xml:space="preserve"> prawa handlowego</w:t>
      </w:r>
      <w:r w:rsidR="00B21D7E" w:rsidRPr="0087075A">
        <w:rPr>
          <w:sz w:val="22"/>
        </w:rPr>
        <w:t>, któr</w:t>
      </w:r>
      <w:r w:rsidR="004F618A" w:rsidRPr="0087075A">
        <w:rPr>
          <w:sz w:val="22"/>
        </w:rPr>
        <w:t>ej</w:t>
      </w:r>
      <w:r w:rsidR="00B21D7E" w:rsidRPr="0087075A">
        <w:rPr>
          <w:sz w:val="22"/>
        </w:rPr>
        <w:t xml:space="preserve"> wartość przychodu uzyskana w roku podatkowym przekroczyła równowartość 50 mln euro</w:t>
      </w:r>
      <w:r w:rsidRPr="0087075A">
        <w:rPr>
          <w:sz w:val="22"/>
        </w:rPr>
        <w:t>.</w:t>
      </w:r>
    </w:p>
    <w:p w14:paraId="3D80C54F" w14:textId="05DE199F" w:rsidR="00B21D7E" w:rsidRPr="0087075A" w:rsidRDefault="00C27EA9" w:rsidP="0087075A">
      <w:pPr>
        <w:spacing w:after="240" w:line="360" w:lineRule="auto"/>
        <w:jc w:val="both"/>
        <w:rPr>
          <w:sz w:val="22"/>
        </w:rPr>
      </w:pPr>
      <w:r w:rsidRPr="0087075A">
        <w:rPr>
          <w:sz w:val="22"/>
        </w:rPr>
        <w:t>W ten sposób</w:t>
      </w:r>
      <w:r w:rsidR="00B21D7E" w:rsidRPr="0087075A">
        <w:rPr>
          <w:sz w:val="22"/>
        </w:rPr>
        <w:t xml:space="preserve"> wytypowano kolejne podmioty względem których Prezes UOKiK wszczął </w:t>
      </w:r>
      <w:bookmarkStart w:id="1" w:name="_Hlk71649217"/>
      <w:r w:rsidR="00B21D7E" w:rsidRPr="0087075A">
        <w:rPr>
          <w:sz w:val="22"/>
        </w:rPr>
        <w:t>postępowania administracyjne w sprawie nadmiernego opóźniania się ze</w:t>
      </w:r>
      <w:r w:rsidR="0000499A" w:rsidRPr="0087075A">
        <w:rPr>
          <w:sz w:val="22"/>
        </w:rPr>
        <w:t> </w:t>
      </w:r>
      <w:r w:rsidR="00B21D7E" w:rsidRPr="0087075A">
        <w:rPr>
          <w:sz w:val="22"/>
        </w:rPr>
        <w:t>spełnianiem świadczeń pieniężnych</w:t>
      </w:r>
      <w:bookmarkEnd w:id="1"/>
      <w:r w:rsidR="00B21D7E" w:rsidRPr="0087075A">
        <w:rPr>
          <w:sz w:val="22"/>
        </w:rPr>
        <w:t xml:space="preserve">. Są to: Ikea </w:t>
      </w:r>
      <w:proofErr w:type="spellStart"/>
      <w:r w:rsidR="00B21D7E" w:rsidRPr="0087075A">
        <w:rPr>
          <w:sz w:val="22"/>
        </w:rPr>
        <w:t>Industry</w:t>
      </w:r>
      <w:proofErr w:type="spellEnd"/>
      <w:r w:rsidR="006343B6" w:rsidRPr="0087075A">
        <w:rPr>
          <w:sz w:val="22"/>
        </w:rPr>
        <w:t xml:space="preserve"> </w:t>
      </w:r>
      <w:r w:rsidR="00B21D7E" w:rsidRPr="0087075A">
        <w:rPr>
          <w:sz w:val="22"/>
        </w:rPr>
        <w:t>Poland</w:t>
      </w:r>
      <w:r w:rsidR="0087075A" w:rsidRPr="0087075A">
        <w:rPr>
          <w:sz w:val="22"/>
        </w:rPr>
        <w:t>,</w:t>
      </w:r>
      <w:r w:rsidR="00B21D7E" w:rsidRPr="0087075A">
        <w:rPr>
          <w:sz w:val="22"/>
        </w:rPr>
        <w:t xml:space="preserve"> </w:t>
      </w:r>
      <w:proofErr w:type="spellStart"/>
      <w:r w:rsidR="00B21D7E" w:rsidRPr="0087075A">
        <w:rPr>
          <w:sz w:val="22"/>
        </w:rPr>
        <w:t>Kuehne+Nagel</w:t>
      </w:r>
      <w:proofErr w:type="spellEnd"/>
      <w:r w:rsidR="00F87AD2" w:rsidRPr="0087075A">
        <w:rPr>
          <w:sz w:val="22"/>
        </w:rPr>
        <w:t>,</w:t>
      </w:r>
      <w:r w:rsidR="006343B6" w:rsidRPr="0087075A">
        <w:rPr>
          <w:sz w:val="22"/>
        </w:rPr>
        <w:t xml:space="preserve"> </w:t>
      </w:r>
      <w:proofErr w:type="spellStart"/>
      <w:r w:rsidR="00B21D7E" w:rsidRPr="0087075A">
        <w:rPr>
          <w:sz w:val="22"/>
        </w:rPr>
        <w:t>Pfeifer</w:t>
      </w:r>
      <w:proofErr w:type="spellEnd"/>
      <w:r w:rsidR="006343B6" w:rsidRPr="0087075A">
        <w:rPr>
          <w:sz w:val="22"/>
        </w:rPr>
        <w:t xml:space="preserve"> &amp; </w:t>
      </w:r>
      <w:proofErr w:type="spellStart"/>
      <w:r w:rsidR="00B21D7E" w:rsidRPr="0087075A">
        <w:rPr>
          <w:sz w:val="22"/>
        </w:rPr>
        <w:t>Langen</w:t>
      </w:r>
      <w:proofErr w:type="spellEnd"/>
      <w:r w:rsidR="00B21D7E" w:rsidRPr="0087075A">
        <w:rPr>
          <w:sz w:val="22"/>
        </w:rPr>
        <w:t xml:space="preserve"> Polska</w:t>
      </w:r>
      <w:r w:rsidR="00F87AD2" w:rsidRPr="0087075A">
        <w:rPr>
          <w:sz w:val="22"/>
        </w:rPr>
        <w:t>,</w:t>
      </w:r>
      <w:r w:rsidR="006343B6" w:rsidRPr="0087075A">
        <w:rPr>
          <w:sz w:val="22"/>
        </w:rPr>
        <w:t xml:space="preserve"> </w:t>
      </w:r>
      <w:proofErr w:type="spellStart"/>
      <w:r w:rsidR="00B21D7E" w:rsidRPr="0087075A">
        <w:rPr>
          <w:sz w:val="22"/>
        </w:rPr>
        <w:t>Kampol-Fruit</w:t>
      </w:r>
      <w:proofErr w:type="spellEnd"/>
      <w:r w:rsidR="00F87AD2" w:rsidRPr="0087075A">
        <w:rPr>
          <w:sz w:val="22"/>
        </w:rPr>
        <w:t>,</w:t>
      </w:r>
      <w:r w:rsidR="006343B6" w:rsidRPr="0087075A">
        <w:rPr>
          <w:sz w:val="22"/>
        </w:rPr>
        <w:t xml:space="preserve"> </w:t>
      </w:r>
      <w:proofErr w:type="spellStart"/>
      <w:r w:rsidR="00B21D7E" w:rsidRPr="0087075A">
        <w:rPr>
          <w:sz w:val="22"/>
        </w:rPr>
        <w:t>Polmlek</w:t>
      </w:r>
      <w:proofErr w:type="spellEnd"/>
      <w:r w:rsidR="00B21D7E" w:rsidRPr="0087075A">
        <w:rPr>
          <w:sz w:val="22"/>
        </w:rPr>
        <w:t xml:space="preserve"> Grudziądz</w:t>
      </w:r>
      <w:r w:rsidR="00F87AD2" w:rsidRPr="0087075A">
        <w:rPr>
          <w:sz w:val="22"/>
        </w:rPr>
        <w:t>,</w:t>
      </w:r>
      <w:r w:rsidR="00B642F0" w:rsidRPr="0087075A">
        <w:rPr>
          <w:sz w:val="22"/>
        </w:rPr>
        <w:t xml:space="preserve"> </w:t>
      </w:r>
      <w:r w:rsidR="00B21D7E" w:rsidRPr="0087075A">
        <w:rPr>
          <w:sz w:val="22"/>
        </w:rPr>
        <w:t xml:space="preserve">Przedsiębiorstwo Drobiarskie </w:t>
      </w:r>
      <w:proofErr w:type="spellStart"/>
      <w:r w:rsidR="00B21D7E" w:rsidRPr="0087075A">
        <w:rPr>
          <w:sz w:val="22"/>
        </w:rPr>
        <w:t>Drobex</w:t>
      </w:r>
      <w:proofErr w:type="spellEnd"/>
      <w:r w:rsidR="00B21D7E" w:rsidRPr="0087075A">
        <w:rPr>
          <w:sz w:val="22"/>
        </w:rPr>
        <w:t xml:space="preserve">, Zakłady Drobiarskie </w:t>
      </w:r>
      <w:proofErr w:type="spellStart"/>
      <w:r w:rsidR="00B21D7E" w:rsidRPr="0087075A">
        <w:rPr>
          <w:sz w:val="22"/>
        </w:rPr>
        <w:t>Farmio</w:t>
      </w:r>
      <w:proofErr w:type="spellEnd"/>
      <w:r w:rsidR="0087075A" w:rsidRPr="0087075A">
        <w:rPr>
          <w:sz w:val="22"/>
        </w:rPr>
        <w:t xml:space="preserve"> i</w:t>
      </w:r>
      <w:r w:rsidR="006343B6" w:rsidRPr="0087075A">
        <w:rPr>
          <w:sz w:val="22"/>
        </w:rPr>
        <w:t xml:space="preserve"> </w:t>
      </w:r>
      <w:r w:rsidR="00B21D7E" w:rsidRPr="0087075A">
        <w:rPr>
          <w:sz w:val="22"/>
        </w:rPr>
        <w:t>Real S.A.</w:t>
      </w:r>
      <w:r w:rsidR="0000499A" w:rsidRPr="0087075A">
        <w:rPr>
          <w:sz w:val="22"/>
        </w:rPr>
        <w:t xml:space="preserve"> Tym razem badany przez UOKiK okres, w którym przedsiębiorcy potencjalnie mogli się opóźniać z zapłatą, to 3 kolejne miesiące na przełomie 2020 i 2021 roku.</w:t>
      </w:r>
    </w:p>
    <w:p w14:paraId="74BBEA80" w14:textId="77777777" w:rsidR="005256F7" w:rsidRPr="0087075A" w:rsidRDefault="005256F7" w:rsidP="005256F7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Trwają prace nad zmianami prawnymi</w:t>
      </w:r>
    </w:p>
    <w:p w14:paraId="68202AC8" w14:textId="70BB5ED6" w:rsidR="005256F7" w:rsidRPr="0087075A" w:rsidRDefault="005256F7" w:rsidP="005256F7">
      <w:pPr>
        <w:spacing w:after="240" w:line="360" w:lineRule="auto"/>
        <w:jc w:val="both"/>
        <w:rPr>
          <w:sz w:val="22"/>
        </w:rPr>
      </w:pPr>
      <w:r w:rsidRPr="0087075A">
        <w:rPr>
          <w:i/>
          <w:sz w:val="22"/>
        </w:rPr>
        <w:t xml:space="preserve"> - Na podstawie doświadczeń uzyskanych w prowadzonych postępowaniach widzimy już, że wartość nakładanych kar wynikających z ustawowego wzoru jest zbyt niska</w:t>
      </w:r>
      <w:r>
        <w:rPr>
          <w:i/>
          <w:sz w:val="22"/>
        </w:rPr>
        <w:t>, zaś postępowania poważnie angażują zasoby Urzędu i przedsiębiorców</w:t>
      </w:r>
      <w:r w:rsidRPr="0087075A">
        <w:rPr>
          <w:i/>
          <w:sz w:val="22"/>
        </w:rPr>
        <w:t xml:space="preserve">. </w:t>
      </w:r>
      <w:bookmarkStart w:id="2" w:name="_Hlk71649251"/>
      <w:r>
        <w:rPr>
          <w:i/>
          <w:sz w:val="22"/>
        </w:rPr>
        <w:t>Pracujemy z Ministerstwem Finansów i</w:t>
      </w:r>
      <w:r w:rsidRPr="0087075A">
        <w:rPr>
          <w:i/>
          <w:sz w:val="22"/>
        </w:rPr>
        <w:t xml:space="preserve"> Ministerstwem Rozwoju, Pracy i Technologii nad zmianami legislacyjnymi </w:t>
      </w:r>
      <w:r>
        <w:rPr>
          <w:i/>
          <w:sz w:val="22"/>
        </w:rPr>
        <w:t xml:space="preserve">aby usprawnić prowadzenie postępowań oraz – poprzez mechanizmy sankcyjny – zwiększyć presję na terminowe i uczciwe rozliczanie się dużych przedsiębiorców z </w:t>
      </w:r>
      <w:r w:rsidR="00711496">
        <w:rPr>
          <w:i/>
          <w:sz w:val="22"/>
        </w:rPr>
        <w:t xml:space="preserve">ich </w:t>
      </w:r>
      <w:bookmarkStart w:id="3" w:name="_GoBack"/>
      <w:bookmarkEnd w:id="3"/>
      <w:r>
        <w:rPr>
          <w:i/>
          <w:sz w:val="22"/>
        </w:rPr>
        <w:t xml:space="preserve">kontrahentami </w:t>
      </w:r>
      <w:bookmarkEnd w:id="2"/>
      <w:r w:rsidRPr="0087075A">
        <w:rPr>
          <w:i/>
          <w:sz w:val="22"/>
        </w:rPr>
        <w:t>-</w:t>
      </w:r>
      <w:r w:rsidRPr="0087075A">
        <w:rPr>
          <w:sz w:val="22"/>
        </w:rPr>
        <w:t xml:space="preserve"> mówi Tomasz Chróstny, Prezes UOKiK.</w:t>
      </w:r>
    </w:p>
    <w:p w14:paraId="0DF60B60" w14:textId="77777777" w:rsidR="00B21D7E" w:rsidRPr="0087075A" w:rsidRDefault="00B21D7E" w:rsidP="0087075A">
      <w:pPr>
        <w:spacing w:after="240" w:line="360" w:lineRule="auto"/>
        <w:jc w:val="both"/>
        <w:rPr>
          <w:sz w:val="22"/>
        </w:rPr>
      </w:pPr>
    </w:p>
    <w:p w14:paraId="5F10D78D" w14:textId="77777777" w:rsidR="00E92444" w:rsidRPr="0087075A" w:rsidRDefault="00E92444" w:rsidP="0087075A">
      <w:pPr>
        <w:spacing w:after="240" w:line="360" w:lineRule="auto"/>
        <w:jc w:val="both"/>
        <w:rPr>
          <w:sz w:val="22"/>
        </w:rPr>
      </w:pPr>
    </w:p>
    <w:sectPr w:rsidR="00E92444" w:rsidRPr="0087075A" w:rsidSect="006142CD">
      <w:headerReference w:type="default" r:id="rId8"/>
      <w:footerReference w:type="default" r:id="rId9"/>
      <w:pgSz w:w="11906" w:h="16838"/>
      <w:pgMar w:top="2127" w:right="1417" w:bottom="1560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1E74" w14:textId="77777777" w:rsidR="005555C3" w:rsidRDefault="005555C3">
      <w:r>
        <w:separator/>
      </w:r>
    </w:p>
  </w:endnote>
  <w:endnote w:type="continuationSeparator" w:id="0">
    <w:p w14:paraId="36399452" w14:textId="77777777" w:rsidR="005555C3" w:rsidRDefault="0055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7A0E" w14:textId="77777777" w:rsidR="0059016B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FD6DCE" wp14:editId="236A55F3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25" name="Obraz 25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1130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1700426" wp14:editId="015BFA7A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F8F4C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004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4A1F8F4C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41130">
      <w:rPr>
        <w:rFonts w:ascii="Segoe UI Semibold" w:hAnsi="Segoe UI Semibold" w:cs="Segoe UI Semibold"/>
        <w:noProof/>
        <w:color w:val="595959" w:themeColor="text1" w:themeTint="A6"/>
        <w:lang w:eastAsia="pl-PL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40A4D789" wp14:editId="0EED8BF9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DBFC763" id="Łącznik prosty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088</w:t>
    </w:r>
  </w:p>
  <w:p w14:paraId="19265D5B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4B5A3" w14:textId="77777777" w:rsidR="005555C3" w:rsidRDefault="005555C3">
      <w:r>
        <w:separator/>
      </w:r>
    </w:p>
  </w:footnote>
  <w:footnote w:type="continuationSeparator" w:id="0">
    <w:p w14:paraId="0412779A" w14:textId="77777777" w:rsidR="005555C3" w:rsidRDefault="0055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F5CA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4ADE68" wp14:editId="4B431159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24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01DA13CA" w14:textId="77777777" w:rsidR="0059016B" w:rsidRDefault="005555C3" w:rsidP="0041396E">
    <w:pPr>
      <w:pStyle w:val="Nagwek"/>
      <w:tabs>
        <w:tab w:val="clear" w:pos="9072"/>
      </w:tabs>
    </w:pPr>
  </w:p>
  <w:p w14:paraId="2635D1D9" w14:textId="77777777" w:rsidR="0059016B" w:rsidRDefault="005555C3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7A14E010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ascii="Trebuchet MS" w:hAnsi="Trebuchet MS" w:cs="Trebuchet MS" w:hint="default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04B73"/>
    <w:multiLevelType w:val="multilevel"/>
    <w:tmpl w:val="A4D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00D05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C5287"/>
    <w:multiLevelType w:val="hybridMultilevel"/>
    <w:tmpl w:val="3EA46920"/>
    <w:lvl w:ilvl="0" w:tplc="A3187CF2">
      <w:start w:val="42"/>
      <w:numFmt w:val="decimal"/>
      <w:lvlText w:val="(%1)"/>
      <w:lvlJc w:val="right"/>
      <w:pPr>
        <w:ind w:left="567" w:hanging="56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20B4"/>
    <w:multiLevelType w:val="hybridMultilevel"/>
    <w:tmpl w:val="865A9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2473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C0D83"/>
    <w:multiLevelType w:val="hybridMultilevel"/>
    <w:tmpl w:val="2584C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429C"/>
    <w:multiLevelType w:val="hybridMultilevel"/>
    <w:tmpl w:val="29D8C6DA"/>
    <w:lvl w:ilvl="0" w:tplc="4126E086">
      <w:start w:val="1"/>
      <w:numFmt w:val="upperRoman"/>
      <w:pStyle w:val="TekstNB2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C73C8"/>
    <w:multiLevelType w:val="hybridMultilevel"/>
    <w:tmpl w:val="2816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97B0E"/>
    <w:multiLevelType w:val="hybridMultilevel"/>
    <w:tmpl w:val="55F8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54C57"/>
    <w:multiLevelType w:val="hybridMultilevel"/>
    <w:tmpl w:val="87846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6"/>
  </w:num>
  <w:num w:numId="5">
    <w:abstractNumId w:val="8"/>
  </w:num>
  <w:num w:numId="6">
    <w:abstractNumId w:val="14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17"/>
  </w:num>
  <w:num w:numId="15">
    <w:abstractNumId w:val="15"/>
  </w:num>
  <w:num w:numId="16">
    <w:abstractNumId w:val="0"/>
    <w:lvlOverride w:ilvl="0">
      <w:startOverride w:val="1"/>
    </w:lvlOverride>
  </w:num>
  <w:num w:numId="17">
    <w:abstractNumId w:val="17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8D7"/>
    <w:rsid w:val="00002C19"/>
    <w:rsid w:val="000035A0"/>
    <w:rsid w:val="0000499A"/>
    <w:rsid w:val="00004AB2"/>
    <w:rsid w:val="0000713A"/>
    <w:rsid w:val="00007E00"/>
    <w:rsid w:val="00011AF2"/>
    <w:rsid w:val="00013DF7"/>
    <w:rsid w:val="00022E98"/>
    <w:rsid w:val="00023634"/>
    <w:rsid w:val="000419C9"/>
    <w:rsid w:val="00042455"/>
    <w:rsid w:val="00042F96"/>
    <w:rsid w:val="00045594"/>
    <w:rsid w:val="00046E51"/>
    <w:rsid w:val="0005050A"/>
    <w:rsid w:val="00052274"/>
    <w:rsid w:val="00056A6A"/>
    <w:rsid w:val="00061526"/>
    <w:rsid w:val="00064BD0"/>
    <w:rsid w:val="000651E9"/>
    <w:rsid w:val="00065693"/>
    <w:rsid w:val="000671BA"/>
    <w:rsid w:val="000715E6"/>
    <w:rsid w:val="00073AA7"/>
    <w:rsid w:val="00075017"/>
    <w:rsid w:val="00075EBB"/>
    <w:rsid w:val="000808D3"/>
    <w:rsid w:val="00081362"/>
    <w:rsid w:val="0008517D"/>
    <w:rsid w:val="00090893"/>
    <w:rsid w:val="00097A7A"/>
    <w:rsid w:val="000A3407"/>
    <w:rsid w:val="000A3C1F"/>
    <w:rsid w:val="000A6033"/>
    <w:rsid w:val="000A74FA"/>
    <w:rsid w:val="000B149D"/>
    <w:rsid w:val="000B1AC5"/>
    <w:rsid w:val="000B52ED"/>
    <w:rsid w:val="000B709F"/>
    <w:rsid w:val="000B7247"/>
    <w:rsid w:val="000B7EED"/>
    <w:rsid w:val="000C1B91"/>
    <w:rsid w:val="000C42C1"/>
    <w:rsid w:val="000C49F9"/>
    <w:rsid w:val="000C7A51"/>
    <w:rsid w:val="000D1D47"/>
    <w:rsid w:val="000D3031"/>
    <w:rsid w:val="000D62ED"/>
    <w:rsid w:val="000D6647"/>
    <w:rsid w:val="000E1C22"/>
    <w:rsid w:val="000E2E06"/>
    <w:rsid w:val="000E4172"/>
    <w:rsid w:val="000E4DA5"/>
    <w:rsid w:val="000E6AF6"/>
    <w:rsid w:val="000E6F07"/>
    <w:rsid w:val="000F2309"/>
    <w:rsid w:val="000F2B97"/>
    <w:rsid w:val="000F6344"/>
    <w:rsid w:val="00100406"/>
    <w:rsid w:val="0010237E"/>
    <w:rsid w:val="00103D5A"/>
    <w:rsid w:val="0010475A"/>
    <w:rsid w:val="0010559C"/>
    <w:rsid w:val="00107844"/>
    <w:rsid w:val="001116D4"/>
    <w:rsid w:val="001129AD"/>
    <w:rsid w:val="00113708"/>
    <w:rsid w:val="00114D5F"/>
    <w:rsid w:val="00120FBD"/>
    <w:rsid w:val="0012424D"/>
    <w:rsid w:val="001301DB"/>
    <w:rsid w:val="0013159A"/>
    <w:rsid w:val="00131D51"/>
    <w:rsid w:val="00134D9E"/>
    <w:rsid w:val="00135455"/>
    <w:rsid w:val="00136714"/>
    <w:rsid w:val="00140DDE"/>
    <w:rsid w:val="00143310"/>
    <w:rsid w:val="00143E5A"/>
    <w:rsid w:val="00144E9C"/>
    <w:rsid w:val="0014568F"/>
    <w:rsid w:val="00152AFF"/>
    <w:rsid w:val="00154ECA"/>
    <w:rsid w:val="00161094"/>
    <w:rsid w:val="00163DF9"/>
    <w:rsid w:val="001666D6"/>
    <w:rsid w:val="00166B5D"/>
    <w:rsid w:val="001675EF"/>
    <w:rsid w:val="0017028A"/>
    <w:rsid w:val="00170659"/>
    <w:rsid w:val="00172DA4"/>
    <w:rsid w:val="001756FF"/>
    <w:rsid w:val="0017631E"/>
    <w:rsid w:val="00177F38"/>
    <w:rsid w:val="00184F3D"/>
    <w:rsid w:val="00186078"/>
    <w:rsid w:val="001878AD"/>
    <w:rsid w:val="00190040"/>
    <w:rsid w:val="00190D5A"/>
    <w:rsid w:val="00191A3C"/>
    <w:rsid w:val="001921E2"/>
    <w:rsid w:val="0019716A"/>
    <w:rsid w:val="001979B5"/>
    <w:rsid w:val="001A10ED"/>
    <w:rsid w:val="001A24DE"/>
    <w:rsid w:val="001A3896"/>
    <w:rsid w:val="001A5BA3"/>
    <w:rsid w:val="001A5F7C"/>
    <w:rsid w:val="001A6E5B"/>
    <w:rsid w:val="001A7451"/>
    <w:rsid w:val="001B68CA"/>
    <w:rsid w:val="001C1CD0"/>
    <w:rsid w:val="001C1FAD"/>
    <w:rsid w:val="001D27E3"/>
    <w:rsid w:val="001D34D9"/>
    <w:rsid w:val="001D48B7"/>
    <w:rsid w:val="001D4D61"/>
    <w:rsid w:val="001E188E"/>
    <w:rsid w:val="001E2191"/>
    <w:rsid w:val="001E3D18"/>
    <w:rsid w:val="001E4F92"/>
    <w:rsid w:val="001E73A2"/>
    <w:rsid w:val="001F2763"/>
    <w:rsid w:val="001F29CE"/>
    <w:rsid w:val="001F4A73"/>
    <w:rsid w:val="002004C6"/>
    <w:rsid w:val="00204783"/>
    <w:rsid w:val="00205580"/>
    <w:rsid w:val="00206C3F"/>
    <w:rsid w:val="0021203D"/>
    <w:rsid w:val="0021504B"/>
    <w:rsid w:val="002157BB"/>
    <w:rsid w:val="00222C65"/>
    <w:rsid w:val="002262B5"/>
    <w:rsid w:val="0023138D"/>
    <w:rsid w:val="00234159"/>
    <w:rsid w:val="0023610C"/>
    <w:rsid w:val="00240294"/>
    <w:rsid w:val="0024118E"/>
    <w:rsid w:val="00241BAC"/>
    <w:rsid w:val="00246337"/>
    <w:rsid w:val="0025356A"/>
    <w:rsid w:val="00253EBF"/>
    <w:rsid w:val="00260382"/>
    <w:rsid w:val="00262938"/>
    <w:rsid w:val="0026569D"/>
    <w:rsid w:val="00266CB4"/>
    <w:rsid w:val="00267DD1"/>
    <w:rsid w:val="00271927"/>
    <w:rsid w:val="002801AA"/>
    <w:rsid w:val="0028299D"/>
    <w:rsid w:val="00283964"/>
    <w:rsid w:val="00285B9A"/>
    <w:rsid w:val="0029292E"/>
    <w:rsid w:val="00295B34"/>
    <w:rsid w:val="00295B55"/>
    <w:rsid w:val="00297564"/>
    <w:rsid w:val="00297D9F"/>
    <w:rsid w:val="002A362C"/>
    <w:rsid w:val="002A525D"/>
    <w:rsid w:val="002A5D69"/>
    <w:rsid w:val="002A74E7"/>
    <w:rsid w:val="002B1DBF"/>
    <w:rsid w:val="002B1F84"/>
    <w:rsid w:val="002B2067"/>
    <w:rsid w:val="002B2818"/>
    <w:rsid w:val="002B3A42"/>
    <w:rsid w:val="002B6640"/>
    <w:rsid w:val="002C035E"/>
    <w:rsid w:val="002C0D5D"/>
    <w:rsid w:val="002C3183"/>
    <w:rsid w:val="002C4213"/>
    <w:rsid w:val="002C6544"/>
    <w:rsid w:val="002C692D"/>
    <w:rsid w:val="002C6ABE"/>
    <w:rsid w:val="002D6F9F"/>
    <w:rsid w:val="002E388C"/>
    <w:rsid w:val="002E6E60"/>
    <w:rsid w:val="002E6F4C"/>
    <w:rsid w:val="002F1BF3"/>
    <w:rsid w:val="002F2118"/>
    <w:rsid w:val="002F4D43"/>
    <w:rsid w:val="00302A12"/>
    <w:rsid w:val="003056C6"/>
    <w:rsid w:val="00305A4D"/>
    <w:rsid w:val="00311B14"/>
    <w:rsid w:val="00317AEB"/>
    <w:rsid w:val="00324306"/>
    <w:rsid w:val="00326A49"/>
    <w:rsid w:val="003278D6"/>
    <w:rsid w:val="003303F0"/>
    <w:rsid w:val="00335F10"/>
    <w:rsid w:val="0034059B"/>
    <w:rsid w:val="00341130"/>
    <w:rsid w:val="0034132A"/>
    <w:rsid w:val="00343094"/>
    <w:rsid w:val="00344D94"/>
    <w:rsid w:val="003468AF"/>
    <w:rsid w:val="0035019C"/>
    <w:rsid w:val="00352F98"/>
    <w:rsid w:val="00353B37"/>
    <w:rsid w:val="00360248"/>
    <w:rsid w:val="00361E3D"/>
    <w:rsid w:val="00366A46"/>
    <w:rsid w:val="003743DA"/>
    <w:rsid w:val="0037570E"/>
    <w:rsid w:val="00375D15"/>
    <w:rsid w:val="00377A0D"/>
    <w:rsid w:val="00382C41"/>
    <w:rsid w:val="003853E6"/>
    <w:rsid w:val="0038677D"/>
    <w:rsid w:val="00394BE0"/>
    <w:rsid w:val="003A3F11"/>
    <w:rsid w:val="003A4A69"/>
    <w:rsid w:val="003A7882"/>
    <w:rsid w:val="003B00B0"/>
    <w:rsid w:val="003B3645"/>
    <w:rsid w:val="003B5F54"/>
    <w:rsid w:val="003D3FF4"/>
    <w:rsid w:val="003D61F2"/>
    <w:rsid w:val="003D7161"/>
    <w:rsid w:val="003D74D7"/>
    <w:rsid w:val="003D7CF4"/>
    <w:rsid w:val="003E3F9D"/>
    <w:rsid w:val="003E69E5"/>
    <w:rsid w:val="003F059E"/>
    <w:rsid w:val="003F1308"/>
    <w:rsid w:val="003F3C31"/>
    <w:rsid w:val="003F4CE1"/>
    <w:rsid w:val="003F5D9F"/>
    <w:rsid w:val="0040060E"/>
    <w:rsid w:val="0040748E"/>
    <w:rsid w:val="00410738"/>
    <w:rsid w:val="00412206"/>
    <w:rsid w:val="00412FFE"/>
    <w:rsid w:val="00421AFC"/>
    <w:rsid w:val="00422B56"/>
    <w:rsid w:val="00423F92"/>
    <w:rsid w:val="00427E08"/>
    <w:rsid w:val="0043156F"/>
    <w:rsid w:val="004349BA"/>
    <w:rsid w:val="0043575C"/>
    <w:rsid w:val="004365C7"/>
    <w:rsid w:val="00437609"/>
    <w:rsid w:val="00441A94"/>
    <w:rsid w:val="004425B7"/>
    <w:rsid w:val="00443877"/>
    <w:rsid w:val="00444A85"/>
    <w:rsid w:val="0044639C"/>
    <w:rsid w:val="00446D75"/>
    <w:rsid w:val="00456039"/>
    <w:rsid w:val="00460BAF"/>
    <w:rsid w:val="00461251"/>
    <w:rsid w:val="00462CFA"/>
    <w:rsid w:val="00471468"/>
    <w:rsid w:val="0047315F"/>
    <w:rsid w:val="0047531A"/>
    <w:rsid w:val="00475736"/>
    <w:rsid w:val="00481642"/>
    <w:rsid w:val="00482BE5"/>
    <w:rsid w:val="004860B8"/>
    <w:rsid w:val="00486DB1"/>
    <w:rsid w:val="00493E10"/>
    <w:rsid w:val="00494602"/>
    <w:rsid w:val="004956CC"/>
    <w:rsid w:val="004972E8"/>
    <w:rsid w:val="00497CB1"/>
    <w:rsid w:val="004B4698"/>
    <w:rsid w:val="004C0F9E"/>
    <w:rsid w:val="004C1243"/>
    <w:rsid w:val="004C5C26"/>
    <w:rsid w:val="004D214B"/>
    <w:rsid w:val="004D5E55"/>
    <w:rsid w:val="004D6898"/>
    <w:rsid w:val="004D72E6"/>
    <w:rsid w:val="004D7CE6"/>
    <w:rsid w:val="004E5090"/>
    <w:rsid w:val="004E5E38"/>
    <w:rsid w:val="004E5F55"/>
    <w:rsid w:val="004F618A"/>
    <w:rsid w:val="004F7E99"/>
    <w:rsid w:val="005001FE"/>
    <w:rsid w:val="005003F9"/>
    <w:rsid w:val="00503D2F"/>
    <w:rsid w:val="0050417B"/>
    <w:rsid w:val="0050439B"/>
    <w:rsid w:val="0050638A"/>
    <w:rsid w:val="005109D8"/>
    <w:rsid w:val="00511CCB"/>
    <w:rsid w:val="005133CE"/>
    <w:rsid w:val="00521BA3"/>
    <w:rsid w:val="005228D8"/>
    <w:rsid w:val="00523B46"/>
    <w:rsid w:val="00523E0D"/>
    <w:rsid w:val="00525588"/>
    <w:rsid w:val="005256F7"/>
    <w:rsid w:val="00526442"/>
    <w:rsid w:val="00527056"/>
    <w:rsid w:val="0052710E"/>
    <w:rsid w:val="00530397"/>
    <w:rsid w:val="0053048A"/>
    <w:rsid w:val="005428E3"/>
    <w:rsid w:val="0054313F"/>
    <w:rsid w:val="005442FC"/>
    <w:rsid w:val="00550AC1"/>
    <w:rsid w:val="00552BD7"/>
    <w:rsid w:val="005555C3"/>
    <w:rsid w:val="0055631D"/>
    <w:rsid w:val="00556F3A"/>
    <w:rsid w:val="005705B9"/>
    <w:rsid w:val="00573A4B"/>
    <w:rsid w:val="00582F31"/>
    <w:rsid w:val="00583276"/>
    <w:rsid w:val="00585F09"/>
    <w:rsid w:val="00592581"/>
    <w:rsid w:val="00593751"/>
    <w:rsid w:val="00593935"/>
    <w:rsid w:val="00595636"/>
    <w:rsid w:val="00596485"/>
    <w:rsid w:val="00596D13"/>
    <w:rsid w:val="005973FD"/>
    <w:rsid w:val="00597C68"/>
    <w:rsid w:val="005A0B3A"/>
    <w:rsid w:val="005A2402"/>
    <w:rsid w:val="005A382B"/>
    <w:rsid w:val="005A4047"/>
    <w:rsid w:val="005A41E8"/>
    <w:rsid w:val="005A6593"/>
    <w:rsid w:val="005A71F0"/>
    <w:rsid w:val="005B7412"/>
    <w:rsid w:val="005C04CE"/>
    <w:rsid w:val="005C0D39"/>
    <w:rsid w:val="005C6232"/>
    <w:rsid w:val="005C6F3C"/>
    <w:rsid w:val="005D2A93"/>
    <w:rsid w:val="005D6977"/>
    <w:rsid w:val="005D6F7A"/>
    <w:rsid w:val="005D71EB"/>
    <w:rsid w:val="005E1727"/>
    <w:rsid w:val="005E1E7F"/>
    <w:rsid w:val="005E3170"/>
    <w:rsid w:val="005E4FDB"/>
    <w:rsid w:val="005E60F9"/>
    <w:rsid w:val="005E78EE"/>
    <w:rsid w:val="005F0B4F"/>
    <w:rsid w:val="005F139F"/>
    <w:rsid w:val="005F1EBD"/>
    <w:rsid w:val="005F25AE"/>
    <w:rsid w:val="005F4806"/>
    <w:rsid w:val="00600AA3"/>
    <w:rsid w:val="00604ABE"/>
    <w:rsid w:val="006063D0"/>
    <w:rsid w:val="00611163"/>
    <w:rsid w:val="00611364"/>
    <w:rsid w:val="00613523"/>
    <w:rsid w:val="00613BD2"/>
    <w:rsid w:val="00613C45"/>
    <w:rsid w:val="006142CD"/>
    <w:rsid w:val="006163BD"/>
    <w:rsid w:val="0062000D"/>
    <w:rsid w:val="00624BA6"/>
    <w:rsid w:val="00633D4E"/>
    <w:rsid w:val="006343B6"/>
    <w:rsid w:val="0063526F"/>
    <w:rsid w:val="00636CDD"/>
    <w:rsid w:val="00637E86"/>
    <w:rsid w:val="00640708"/>
    <w:rsid w:val="006422DE"/>
    <w:rsid w:val="006439FA"/>
    <w:rsid w:val="006501BA"/>
    <w:rsid w:val="006508E3"/>
    <w:rsid w:val="006515B9"/>
    <w:rsid w:val="00664B34"/>
    <w:rsid w:val="0067485D"/>
    <w:rsid w:val="00681476"/>
    <w:rsid w:val="00687E62"/>
    <w:rsid w:val="00691073"/>
    <w:rsid w:val="00692A1C"/>
    <w:rsid w:val="0069527B"/>
    <w:rsid w:val="0069541C"/>
    <w:rsid w:val="006A2065"/>
    <w:rsid w:val="006A22E3"/>
    <w:rsid w:val="006A3D88"/>
    <w:rsid w:val="006A4A7A"/>
    <w:rsid w:val="006A7533"/>
    <w:rsid w:val="006A76B2"/>
    <w:rsid w:val="006A7A10"/>
    <w:rsid w:val="006B018F"/>
    <w:rsid w:val="006B0848"/>
    <w:rsid w:val="006B6008"/>
    <w:rsid w:val="006B628A"/>
    <w:rsid w:val="006B733D"/>
    <w:rsid w:val="006C1BB4"/>
    <w:rsid w:val="006C27A3"/>
    <w:rsid w:val="006C34AE"/>
    <w:rsid w:val="006C67AF"/>
    <w:rsid w:val="006C7193"/>
    <w:rsid w:val="006C79D8"/>
    <w:rsid w:val="006D0395"/>
    <w:rsid w:val="006D1F85"/>
    <w:rsid w:val="006D3D76"/>
    <w:rsid w:val="006D3DC5"/>
    <w:rsid w:val="006D69C6"/>
    <w:rsid w:val="006D6B64"/>
    <w:rsid w:val="006E3616"/>
    <w:rsid w:val="006E5B60"/>
    <w:rsid w:val="006E6791"/>
    <w:rsid w:val="006F00EF"/>
    <w:rsid w:val="006F143B"/>
    <w:rsid w:val="006F1984"/>
    <w:rsid w:val="006F67B1"/>
    <w:rsid w:val="007039EC"/>
    <w:rsid w:val="007043F3"/>
    <w:rsid w:val="0070468B"/>
    <w:rsid w:val="00705354"/>
    <w:rsid w:val="0070711F"/>
    <w:rsid w:val="007076A7"/>
    <w:rsid w:val="00711496"/>
    <w:rsid w:val="0071572D"/>
    <w:rsid w:val="007157BA"/>
    <w:rsid w:val="00716072"/>
    <w:rsid w:val="007169F9"/>
    <w:rsid w:val="007174A6"/>
    <w:rsid w:val="007224B3"/>
    <w:rsid w:val="00722B4A"/>
    <w:rsid w:val="0072509D"/>
    <w:rsid w:val="0072524C"/>
    <w:rsid w:val="00727668"/>
    <w:rsid w:val="00731303"/>
    <w:rsid w:val="007402E0"/>
    <w:rsid w:val="0074489D"/>
    <w:rsid w:val="0074531A"/>
    <w:rsid w:val="007505FA"/>
    <w:rsid w:val="007514AD"/>
    <w:rsid w:val="007536E1"/>
    <w:rsid w:val="0075524D"/>
    <w:rsid w:val="007560B0"/>
    <w:rsid w:val="00757E28"/>
    <w:rsid w:val="00761357"/>
    <w:rsid w:val="00761F9B"/>
    <w:rsid w:val="007627D7"/>
    <w:rsid w:val="00763C44"/>
    <w:rsid w:val="00767576"/>
    <w:rsid w:val="007703F5"/>
    <w:rsid w:val="00771886"/>
    <w:rsid w:val="00772B7C"/>
    <w:rsid w:val="0077331E"/>
    <w:rsid w:val="00776C4F"/>
    <w:rsid w:val="007838E4"/>
    <w:rsid w:val="007846DC"/>
    <w:rsid w:val="007870D6"/>
    <w:rsid w:val="00787E10"/>
    <w:rsid w:val="007A0A5C"/>
    <w:rsid w:val="007A0C26"/>
    <w:rsid w:val="007A149D"/>
    <w:rsid w:val="007A19D8"/>
    <w:rsid w:val="007A1DA1"/>
    <w:rsid w:val="007B0A2C"/>
    <w:rsid w:val="007B309F"/>
    <w:rsid w:val="007B7A18"/>
    <w:rsid w:val="007C2F76"/>
    <w:rsid w:val="007C54FA"/>
    <w:rsid w:val="007D206E"/>
    <w:rsid w:val="007D6429"/>
    <w:rsid w:val="007D78CD"/>
    <w:rsid w:val="007E263E"/>
    <w:rsid w:val="007E2AE8"/>
    <w:rsid w:val="007E2F77"/>
    <w:rsid w:val="007E36E4"/>
    <w:rsid w:val="007E59EF"/>
    <w:rsid w:val="007E6924"/>
    <w:rsid w:val="007F0ACE"/>
    <w:rsid w:val="007F1BAA"/>
    <w:rsid w:val="007F7BEF"/>
    <w:rsid w:val="00803E54"/>
    <w:rsid w:val="00804024"/>
    <w:rsid w:val="008152E7"/>
    <w:rsid w:val="00817010"/>
    <w:rsid w:val="0081753E"/>
    <w:rsid w:val="008250D2"/>
    <w:rsid w:val="0084239D"/>
    <w:rsid w:val="00844631"/>
    <w:rsid w:val="00846457"/>
    <w:rsid w:val="0085010E"/>
    <w:rsid w:val="0085064F"/>
    <w:rsid w:val="0085454F"/>
    <w:rsid w:val="00856DDF"/>
    <w:rsid w:val="00862BA9"/>
    <w:rsid w:val="00866417"/>
    <w:rsid w:val="008664D8"/>
    <w:rsid w:val="00866675"/>
    <w:rsid w:val="0087075A"/>
    <w:rsid w:val="00870923"/>
    <w:rsid w:val="008713FC"/>
    <w:rsid w:val="0087354F"/>
    <w:rsid w:val="00874A84"/>
    <w:rsid w:val="0088114C"/>
    <w:rsid w:val="00881150"/>
    <w:rsid w:val="00882D34"/>
    <w:rsid w:val="0088768F"/>
    <w:rsid w:val="00887858"/>
    <w:rsid w:val="0089574D"/>
    <w:rsid w:val="00895F48"/>
    <w:rsid w:val="0089603B"/>
    <w:rsid w:val="00896985"/>
    <w:rsid w:val="008A26AC"/>
    <w:rsid w:val="008A4642"/>
    <w:rsid w:val="008B05D1"/>
    <w:rsid w:val="008B31B3"/>
    <w:rsid w:val="008B718B"/>
    <w:rsid w:val="008C36B4"/>
    <w:rsid w:val="008C45B5"/>
    <w:rsid w:val="008C53D0"/>
    <w:rsid w:val="008C5D7A"/>
    <w:rsid w:val="008D0E7D"/>
    <w:rsid w:val="008D3AE2"/>
    <w:rsid w:val="008D527A"/>
    <w:rsid w:val="008D56DA"/>
    <w:rsid w:val="008D5771"/>
    <w:rsid w:val="008D6200"/>
    <w:rsid w:val="008E0154"/>
    <w:rsid w:val="008E3047"/>
    <w:rsid w:val="008E53BD"/>
    <w:rsid w:val="008E5D1D"/>
    <w:rsid w:val="008E621F"/>
    <w:rsid w:val="008E75DF"/>
    <w:rsid w:val="008F3176"/>
    <w:rsid w:val="008F472E"/>
    <w:rsid w:val="008F51DB"/>
    <w:rsid w:val="00900403"/>
    <w:rsid w:val="00901EDE"/>
    <w:rsid w:val="00902556"/>
    <w:rsid w:val="0090338C"/>
    <w:rsid w:val="00903606"/>
    <w:rsid w:val="0090643E"/>
    <w:rsid w:val="0090735A"/>
    <w:rsid w:val="00910109"/>
    <w:rsid w:val="0091048E"/>
    <w:rsid w:val="00911383"/>
    <w:rsid w:val="00913E83"/>
    <w:rsid w:val="009149E1"/>
    <w:rsid w:val="009171AA"/>
    <w:rsid w:val="009202D5"/>
    <w:rsid w:val="00924ABC"/>
    <w:rsid w:val="009273C1"/>
    <w:rsid w:val="00934B20"/>
    <w:rsid w:val="00940E8F"/>
    <w:rsid w:val="00950E9E"/>
    <w:rsid w:val="00951A90"/>
    <w:rsid w:val="0095309C"/>
    <w:rsid w:val="00955070"/>
    <w:rsid w:val="00956B96"/>
    <w:rsid w:val="009613DC"/>
    <w:rsid w:val="009652F2"/>
    <w:rsid w:val="009719ED"/>
    <w:rsid w:val="00975EBF"/>
    <w:rsid w:val="009800F4"/>
    <w:rsid w:val="00986C37"/>
    <w:rsid w:val="0098761D"/>
    <w:rsid w:val="009928C0"/>
    <w:rsid w:val="009935C9"/>
    <w:rsid w:val="00997528"/>
    <w:rsid w:val="0099796A"/>
    <w:rsid w:val="009B1C15"/>
    <w:rsid w:val="009B4EEA"/>
    <w:rsid w:val="009C1346"/>
    <w:rsid w:val="009D05C8"/>
    <w:rsid w:val="009D0D45"/>
    <w:rsid w:val="009D2753"/>
    <w:rsid w:val="009D2BE6"/>
    <w:rsid w:val="009D50EC"/>
    <w:rsid w:val="009D5D14"/>
    <w:rsid w:val="009D6444"/>
    <w:rsid w:val="009D6620"/>
    <w:rsid w:val="009D79B8"/>
    <w:rsid w:val="009E1495"/>
    <w:rsid w:val="009E3C0B"/>
    <w:rsid w:val="009E5E21"/>
    <w:rsid w:val="009E5E4E"/>
    <w:rsid w:val="009E7037"/>
    <w:rsid w:val="009F1362"/>
    <w:rsid w:val="009F14B9"/>
    <w:rsid w:val="00A00401"/>
    <w:rsid w:val="00A057AA"/>
    <w:rsid w:val="00A13244"/>
    <w:rsid w:val="00A132A4"/>
    <w:rsid w:val="00A134F9"/>
    <w:rsid w:val="00A179D4"/>
    <w:rsid w:val="00A235E5"/>
    <w:rsid w:val="00A239AA"/>
    <w:rsid w:val="00A25C11"/>
    <w:rsid w:val="00A26230"/>
    <w:rsid w:val="00A3731E"/>
    <w:rsid w:val="00A41C40"/>
    <w:rsid w:val="00A439E8"/>
    <w:rsid w:val="00A45753"/>
    <w:rsid w:val="00A46666"/>
    <w:rsid w:val="00A47AAB"/>
    <w:rsid w:val="00A53423"/>
    <w:rsid w:val="00A610F6"/>
    <w:rsid w:val="00A62659"/>
    <w:rsid w:val="00A65EAA"/>
    <w:rsid w:val="00A65F20"/>
    <w:rsid w:val="00A74596"/>
    <w:rsid w:val="00A76293"/>
    <w:rsid w:val="00A77DA2"/>
    <w:rsid w:val="00A85D9D"/>
    <w:rsid w:val="00A90C6B"/>
    <w:rsid w:val="00A91829"/>
    <w:rsid w:val="00A92C4C"/>
    <w:rsid w:val="00AA602D"/>
    <w:rsid w:val="00AB0228"/>
    <w:rsid w:val="00AB2EA0"/>
    <w:rsid w:val="00AB559C"/>
    <w:rsid w:val="00AB572D"/>
    <w:rsid w:val="00AB5C54"/>
    <w:rsid w:val="00AC1761"/>
    <w:rsid w:val="00AC56C0"/>
    <w:rsid w:val="00AC624B"/>
    <w:rsid w:val="00AC70FF"/>
    <w:rsid w:val="00AD4F64"/>
    <w:rsid w:val="00AD5C6D"/>
    <w:rsid w:val="00AE1557"/>
    <w:rsid w:val="00AE2923"/>
    <w:rsid w:val="00AE7F9D"/>
    <w:rsid w:val="00AF1468"/>
    <w:rsid w:val="00AF1D88"/>
    <w:rsid w:val="00AF7CCD"/>
    <w:rsid w:val="00B007AB"/>
    <w:rsid w:val="00B026F0"/>
    <w:rsid w:val="00B028F7"/>
    <w:rsid w:val="00B04B21"/>
    <w:rsid w:val="00B05E53"/>
    <w:rsid w:val="00B067A8"/>
    <w:rsid w:val="00B1431D"/>
    <w:rsid w:val="00B21D7E"/>
    <w:rsid w:val="00B22863"/>
    <w:rsid w:val="00B24DAA"/>
    <w:rsid w:val="00B265F9"/>
    <w:rsid w:val="00B37C5A"/>
    <w:rsid w:val="00B41502"/>
    <w:rsid w:val="00B43719"/>
    <w:rsid w:val="00B45CF2"/>
    <w:rsid w:val="00B462F4"/>
    <w:rsid w:val="00B51024"/>
    <w:rsid w:val="00B519E4"/>
    <w:rsid w:val="00B51D35"/>
    <w:rsid w:val="00B540A6"/>
    <w:rsid w:val="00B54270"/>
    <w:rsid w:val="00B60CD8"/>
    <w:rsid w:val="00B60F9C"/>
    <w:rsid w:val="00B625CF"/>
    <w:rsid w:val="00B6279C"/>
    <w:rsid w:val="00B642B4"/>
    <w:rsid w:val="00B642F0"/>
    <w:rsid w:val="00B6769E"/>
    <w:rsid w:val="00B70E05"/>
    <w:rsid w:val="00B7346D"/>
    <w:rsid w:val="00B73F22"/>
    <w:rsid w:val="00B76F9A"/>
    <w:rsid w:val="00B7776A"/>
    <w:rsid w:val="00B810B2"/>
    <w:rsid w:val="00B960DA"/>
    <w:rsid w:val="00BA26F7"/>
    <w:rsid w:val="00BA50ED"/>
    <w:rsid w:val="00BA6D9E"/>
    <w:rsid w:val="00BA79F0"/>
    <w:rsid w:val="00BB5068"/>
    <w:rsid w:val="00BB7AE8"/>
    <w:rsid w:val="00BC1DE9"/>
    <w:rsid w:val="00BC2B86"/>
    <w:rsid w:val="00BC60AA"/>
    <w:rsid w:val="00BC75EB"/>
    <w:rsid w:val="00BD0481"/>
    <w:rsid w:val="00BD4447"/>
    <w:rsid w:val="00BE00E1"/>
    <w:rsid w:val="00BE1841"/>
    <w:rsid w:val="00BE2623"/>
    <w:rsid w:val="00BE3923"/>
    <w:rsid w:val="00BE4BF0"/>
    <w:rsid w:val="00BE5DE3"/>
    <w:rsid w:val="00BE5EE5"/>
    <w:rsid w:val="00BE68EE"/>
    <w:rsid w:val="00BE7B52"/>
    <w:rsid w:val="00BE7F63"/>
    <w:rsid w:val="00BF04DC"/>
    <w:rsid w:val="00BF45FB"/>
    <w:rsid w:val="00C0136F"/>
    <w:rsid w:val="00C03289"/>
    <w:rsid w:val="00C0525B"/>
    <w:rsid w:val="00C10BFA"/>
    <w:rsid w:val="00C123B1"/>
    <w:rsid w:val="00C13C5F"/>
    <w:rsid w:val="00C14CA8"/>
    <w:rsid w:val="00C209F6"/>
    <w:rsid w:val="00C20B68"/>
    <w:rsid w:val="00C21071"/>
    <w:rsid w:val="00C22EF7"/>
    <w:rsid w:val="00C2398C"/>
    <w:rsid w:val="00C25058"/>
    <w:rsid w:val="00C25569"/>
    <w:rsid w:val="00C27366"/>
    <w:rsid w:val="00C27EA9"/>
    <w:rsid w:val="00C3067A"/>
    <w:rsid w:val="00C31B55"/>
    <w:rsid w:val="00C36952"/>
    <w:rsid w:val="00C378C0"/>
    <w:rsid w:val="00C417F5"/>
    <w:rsid w:val="00C5505E"/>
    <w:rsid w:val="00C56A64"/>
    <w:rsid w:val="00C61680"/>
    <w:rsid w:val="00C63AA8"/>
    <w:rsid w:val="00C65043"/>
    <w:rsid w:val="00C6597F"/>
    <w:rsid w:val="00C67253"/>
    <w:rsid w:val="00C67C55"/>
    <w:rsid w:val="00C67D30"/>
    <w:rsid w:val="00C76762"/>
    <w:rsid w:val="00C7783C"/>
    <w:rsid w:val="00C82BF8"/>
    <w:rsid w:val="00C86B3D"/>
    <w:rsid w:val="00C91726"/>
    <w:rsid w:val="00C950F6"/>
    <w:rsid w:val="00C9677E"/>
    <w:rsid w:val="00C97672"/>
    <w:rsid w:val="00C97938"/>
    <w:rsid w:val="00CA6B58"/>
    <w:rsid w:val="00CA78F9"/>
    <w:rsid w:val="00CB17B9"/>
    <w:rsid w:val="00CB1AE6"/>
    <w:rsid w:val="00CB3ED4"/>
    <w:rsid w:val="00CB3F41"/>
    <w:rsid w:val="00CB3F86"/>
    <w:rsid w:val="00CC2B38"/>
    <w:rsid w:val="00CC5980"/>
    <w:rsid w:val="00CC63D3"/>
    <w:rsid w:val="00CD34F0"/>
    <w:rsid w:val="00CD3C16"/>
    <w:rsid w:val="00CD5FE7"/>
    <w:rsid w:val="00CE0954"/>
    <w:rsid w:val="00CE6083"/>
    <w:rsid w:val="00CF11F7"/>
    <w:rsid w:val="00CF2646"/>
    <w:rsid w:val="00D00D09"/>
    <w:rsid w:val="00D015C7"/>
    <w:rsid w:val="00D05112"/>
    <w:rsid w:val="00D06102"/>
    <w:rsid w:val="00D06240"/>
    <w:rsid w:val="00D062D5"/>
    <w:rsid w:val="00D13212"/>
    <w:rsid w:val="00D1323F"/>
    <w:rsid w:val="00D202BA"/>
    <w:rsid w:val="00D251AC"/>
    <w:rsid w:val="00D30060"/>
    <w:rsid w:val="00D30BE8"/>
    <w:rsid w:val="00D3402A"/>
    <w:rsid w:val="00D34FBE"/>
    <w:rsid w:val="00D373A7"/>
    <w:rsid w:val="00D37869"/>
    <w:rsid w:val="00D43766"/>
    <w:rsid w:val="00D47CCF"/>
    <w:rsid w:val="00D50C2B"/>
    <w:rsid w:val="00D53E46"/>
    <w:rsid w:val="00D56103"/>
    <w:rsid w:val="00D6457B"/>
    <w:rsid w:val="00D66DEC"/>
    <w:rsid w:val="00D67E7E"/>
    <w:rsid w:val="00D7101E"/>
    <w:rsid w:val="00D71A41"/>
    <w:rsid w:val="00D7687F"/>
    <w:rsid w:val="00D768A4"/>
    <w:rsid w:val="00D76900"/>
    <w:rsid w:val="00D76C22"/>
    <w:rsid w:val="00D85036"/>
    <w:rsid w:val="00D85FA3"/>
    <w:rsid w:val="00D861CC"/>
    <w:rsid w:val="00D86403"/>
    <w:rsid w:val="00D90C11"/>
    <w:rsid w:val="00D90C4E"/>
    <w:rsid w:val="00D91E49"/>
    <w:rsid w:val="00D92F52"/>
    <w:rsid w:val="00D93242"/>
    <w:rsid w:val="00DA753F"/>
    <w:rsid w:val="00DB58BF"/>
    <w:rsid w:val="00DC182C"/>
    <w:rsid w:val="00DC2A80"/>
    <w:rsid w:val="00DC5754"/>
    <w:rsid w:val="00DD34A3"/>
    <w:rsid w:val="00DD6056"/>
    <w:rsid w:val="00DD771E"/>
    <w:rsid w:val="00DE56AE"/>
    <w:rsid w:val="00DE7C6A"/>
    <w:rsid w:val="00DF0FBA"/>
    <w:rsid w:val="00DF140E"/>
    <w:rsid w:val="00DF18FF"/>
    <w:rsid w:val="00DF1BA2"/>
    <w:rsid w:val="00DF2857"/>
    <w:rsid w:val="00DF3709"/>
    <w:rsid w:val="00DF6489"/>
    <w:rsid w:val="00DF6EFD"/>
    <w:rsid w:val="00DF782B"/>
    <w:rsid w:val="00DF7ABA"/>
    <w:rsid w:val="00E03AEF"/>
    <w:rsid w:val="00E03BB8"/>
    <w:rsid w:val="00E042C4"/>
    <w:rsid w:val="00E102DE"/>
    <w:rsid w:val="00E1221A"/>
    <w:rsid w:val="00E1484C"/>
    <w:rsid w:val="00E16D89"/>
    <w:rsid w:val="00E20DB1"/>
    <w:rsid w:val="00E24825"/>
    <w:rsid w:val="00E24FBC"/>
    <w:rsid w:val="00E252A2"/>
    <w:rsid w:val="00E343CC"/>
    <w:rsid w:val="00E37649"/>
    <w:rsid w:val="00E42093"/>
    <w:rsid w:val="00E434D2"/>
    <w:rsid w:val="00E452E8"/>
    <w:rsid w:val="00E45F6D"/>
    <w:rsid w:val="00E45FE0"/>
    <w:rsid w:val="00E4729A"/>
    <w:rsid w:val="00E522AD"/>
    <w:rsid w:val="00E55AE3"/>
    <w:rsid w:val="00E560D3"/>
    <w:rsid w:val="00E57263"/>
    <w:rsid w:val="00E64103"/>
    <w:rsid w:val="00E7205E"/>
    <w:rsid w:val="00E76CD1"/>
    <w:rsid w:val="00E772D5"/>
    <w:rsid w:val="00E83959"/>
    <w:rsid w:val="00E83EA4"/>
    <w:rsid w:val="00E84F1B"/>
    <w:rsid w:val="00E8519F"/>
    <w:rsid w:val="00E851DA"/>
    <w:rsid w:val="00E8733E"/>
    <w:rsid w:val="00E92444"/>
    <w:rsid w:val="00E94703"/>
    <w:rsid w:val="00E94F07"/>
    <w:rsid w:val="00E95113"/>
    <w:rsid w:val="00E959B5"/>
    <w:rsid w:val="00EA00B9"/>
    <w:rsid w:val="00EA20EC"/>
    <w:rsid w:val="00EA36D7"/>
    <w:rsid w:val="00EB08CC"/>
    <w:rsid w:val="00EB18B9"/>
    <w:rsid w:val="00EB340D"/>
    <w:rsid w:val="00EC011E"/>
    <w:rsid w:val="00EC6991"/>
    <w:rsid w:val="00ED0F77"/>
    <w:rsid w:val="00ED32AA"/>
    <w:rsid w:val="00EE0E12"/>
    <w:rsid w:val="00EE4AD8"/>
    <w:rsid w:val="00EE6DDC"/>
    <w:rsid w:val="00EF2D46"/>
    <w:rsid w:val="00EF6C9B"/>
    <w:rsid w:val="00F067B9"/>
    <w:rsid w:val="00F1042E"/>
    <w:rsid w:val="00F12880"/>
    <w:rsid w:val="00F139AC"/>
    <w:rsid w:val="00F17507"/>
    <w:rsid w:val="00F17F27"/>
    <w:rsid w:val="00F21EAC"/>
    <w:rsid w:val="00F2232E"/>
    <w:rsid w:val="00F246CC"/>
    <w:rsid w:val="00F3243D"/>
    <w:rsid w:val="00F34D0D"/>
    <w:rsid w:val="00F42CFD"/>
    <w:rsid w:val="00F468F8"/>
    <w:rsid w:val="00F46D0D"/>
    <w:rsid w:val="00F5431B"/>
    <w:rsid w:val="00F55581"/>
    <w:rsid w:val="00F56DDB"/>
    <w:rsid w:val="00F5709E"/>
    <w:rsid w:val="00F81261"/>
    <w:rsid w:val="00F87AD2"/>
    <w:rsid w:val="00F90470"/>
    <w:rsid w:val="00F92B59"/>
    <w:rsid w:val="00F948BC"/>
    <w:rsid w:val="00F94B66"/>
    <w:rsid w:val="00F960CF"/>
    <w:rsid w:val="00FA10A3"/>
    <w:rsid w:val="00FA1226"/>
    <w:rsid w:val="00FA1824"/>
    <w:rsid w:val="00FA48A4"/>
    <w:rsid w:val="00FA6BAA"/>
    <w:rsid w:val="00FA76F5"/>
    <w:rsid w:val="00FB0E71"/>
    <w:rsid w:val="00FB7073"/>
    <w:rsid w:val="00FC25B2"/>
    <w:rsid w:val="00FC7F63"/>
    <w:rsid w:val="00FD09D8"/>
    <w:rsid w:val="00FD4A6F"/>
    <w:rsid w:val="00FE2854"/>
    <w:rsid w:val="00FE2B5C"/>
    <w:rsid w:val="00FE665B"/>
    <w:rsid w:val="00FF2318"/>
    <w:rsid w:val="00FF3DAB"/>
    <w:rsid w:val="00FF4F3D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72CB4"/>
  <w15:docId w15:val="{4E78A06E-B476-4345-8BF8-451D25F7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customStyle="1" w:styleId="mcntmcntmsonormal">
    <w:name w:val="mcntmcntmsonormal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bodytext2">
    <w:name w:val="mcntmcntmsobodytext2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commenttext">
    <w:name w:val="mcntmcntmsocommenttext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46D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46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2F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81261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5064F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375D1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cntmsonormal">
    <w:name w:val="mcntmsonormal"/>
    <w:basedOn w:val="Normalny"/>
    <w:rsid w:val="00375D1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Normalny"/>
    <w:uiPriority w:val="39"/>
    <w:qFormat/>
    <w:rsid w:val="006B018F"/>
    <w:pPr>
      <w:spacing w:line="360" w:lineRule="auto"/>
      <w:ind w:left="1815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C2B38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7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F6489"/>
    <w:rPr>
      <w:color w:val="605E5C"/>
      <w:shd w:val="clear" w:color="auto" w:fill="E1DFDD"/>
    </w:rPr>
  </w:style>
  <w:style w:type="character" w:customStyle="1" w:styleId="mcntbumpedfont15">
    <w:name w:val="mcntbumpedfont15"/>
    <w:basedOn w:val="Domylnaczcionkaakapitu"/>
    <w:rsid w:val="00443877"/>
  </w:style>
  <w:style w:type="character" w:styleId="Uwydatnienie">
    <w:name w:val="Emphasis"/>
    <w:basedOn w:val="Domylnaczcionkaakapitu"/>
    <w:uiPriority w:val="20"/>
    <w:qFormat/>
    <w:rsid w:val="0069541C"/>
    <w:rPr>
      <w:i/>
      <w:iCs/>
    </w:rPr>
  </w:style>
  <w:style w:type="paragraph" w:customStyle="1" w:styleId="TekstNB2">
    <w:name w:val="Tekst_NB_2"/>
    <w:basedOn w:val="Akapitzlist"/>
    <w:link w:val="TekstNB2Znak"/>
    <w:qFormat/>
    <w:rsid w:val="002B2067"/>
    <w:pPr>
      <w:numPr>
        <w:numId w:val="19"/>
      </w:numPr>
      <w:suppressAutoHyphens/>
      <w:spacing w:after="240" w:line="360" w:lineRule="auto"/>
      <w:ind w:left="357" w:hanging="357"/>
      <w:contextualSpacing w:val="0"/>
      <w:jc w:val="both"/>
    </w:pPr>
    <w:rPr>
      <w:rFonts w:eastAsia="Calibri" w:cs="Trebuchet MS"/>
      <w:sz w:val="22"/>
      <w:szCs w:val="24"/>
      <w:lang w:eastAsia="zh-CN"/>
    </w:rPr>
  </w:style>
  <w:style w:type="character" w:customStyle="1" w:styleId="TekstNB2Znak">
    <w:name w:val="Tekst_NB_2 Znak"/>
    <w:link w:val="TekstNB2"/>
    <w:rsid w:val="002B2067"/>
    <w:rPr>
      <w:rFonts w:ascii="Trebuchet MS" w:eastAsia="Calibri" w:hAnsi="Trebuchet MS" w:cs="Trebuchet MS"/>
      <w:szCs w:val="24"/>
      <w:lang w:eastAsia="zh-CN"/>
    </w:rPr>
  </w:style>
  <w:style w:type="paragraph" w:styleId="Bezodstpw">
    <w:name w:val="No Spacing"/>
    <w:uiPriority w:val="1"/>
    <w:qFormat/>
    <w:rsid w:val="004D72E6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D7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0CC6-D830-497A-ADBC-B361FBDD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5</cp:revision>
  <cp:lastPrinted>2021-02-02T09:37:00Z</cp:lastPrinted>
  <dcterms:created xsi:type="dcterms:W3CDTF">2021-05-11T15:46:00Z</dcterms:created>
  <dcterms:modified xsi:type="dcterms:W3CDTF">2021-05-11T16:16:00Z</dcterms:modified>
</cp:coreProperties>
</file>