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0CF301" w14:textId="7E8CD9B1" w:rsidR="00D47CCF" w:rsidRPr="001E79BC" w:rsidRDefault="0056003D" w:rsidP="002C0D5D">
      <w:pPr>
        <w:spacing w:line="360" w:lineRule="auto"/>
        <w:jc w:val="both"/>
        <w:rPr>
          <w:sz w:val="32"/>
          <w:szCs w:val="32"/>
        </w:rPr>
      </w:pPr>
      <w:r w:rsidRPr="001E79BC">
        <w:rPr>
          <w:sz w:val="32"/>
          <w:szCs w:val="32"/>
        </w:rPr>
        <w:t>Polska w gronie liderów monitorowania niebezpiecznych produktów nieżywnościowych</w:t>
      </w:r>
    </w:p>
    <w:p w14:paraId="6AD36F36" w14:textId="2AD3CE22" w:rsidR="005B7D9B" w:rsidRPr="001E79BC" w:rsidRDefault="00CB229C" w:rsidP="00CB229C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240" w:line="360" w:lineRule="auto"/>
        <w:jc w:val="both"/>
        <w:rPr>
          <w:rFonts w:cs="Tahoma"/>
          <w:b/>
          <w:color w:val="000000" w:themeColor="text1"/>
          <w:sz w:val="22"/>
          <w:lang w:eastAsia="en-GB"/>
        </w:rPr>
      </w:pPr>
      <w:r w:rsidRPr="001E79BC">
        <w:rPr>
          <w:b/>
          <w:sz w:val="22"/>
        </w:rPr>
        <w:t>W 2020 r. UOKiK przekazał 148 zgłoszeń dot</w:t>
      </w:r>
      <w:r w:rsidR="004949EC" w:rsidRPr="001E79BC">
        <w:rPr>
          <w:b/>
          <w:sz w:val="22"/>
        </w:rPr>
        <w:t>yczących prawie 3,5 mln</w:t>
      </w:r>
      <w:r w:rsidRPr="001E79BC">
        <w:rPr>
          <w:b/>
          <w:sz w:val="22"/>
        </w:rPr>
        <w:t xml:space="preserve"> sztuk </w:t>
      </w:r>
      <w:r w:rsidR="004949EC" w:rsidRPr="001E79BC">
        <w:rPr>
          <w:b/>
          <w:sz w:val="22"/>
        </w:rPr>
        <w:t xml:space="preserve">niebezpiecznych </w:t>
      </w:r>
      <w:r w:rsidRPr="001E79BC">
        <w:rPr>
          <w:b/>
          <w:sz w:val="22"/>
        </w:rPr>
        <w:t>produktów do systemu RAPEX</w:t>
      </w:r>
      <w:r w:rsidR="005E3353" w:rsidRPr="001E79BC">
        <w:rPr>
          <w:b/>
          <w:sz w:val="22"/>
        </w:rPr>
        <w:t>.</w:t>
      </w:r>
    </w:p>
    <w:p w14:paraId="4C5E6294" w14:textId="0E05167A" w:rsidR="00D511C1" w:rsidRPr="001E79BC" w:rsidRDefault="005B7D9B" w:rsidP="001E6E8A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240" w:line="360" w:lineRule="auto"/>
        <w:jc w:val="both"/>
        <w:rPr>
          <w:rFonts w:cs="Tahoma"/>
          <w:b/>
          <w:color w:val="000000" w:themeColor="text1"/>
          <w:sz w:val="22"/>
          <w:lang w:eastAsia="en-GB"/>
        </w:rPr>
      </w:pPr>
      <w:r w:rsidRPr="001E79BC">
        <w:rPr>
          <w:b/>
          <w:sz w:val="22"/>
        </w:rPr>
        <w:t xml:space="preserve">Najwięcej zgłoszeń dotyczyło zabawek - 73, sprzętu elektrycznego i oświetleniowego – 28 oraz sprzętu ochrony indywidualnej </w:t>
      </w:r>
      <w:r w:rsidR="00182B7D" w:rsidRPr="001E79BC">
        <w:rPr>
          <w:b/>
          <w:sz w:val="22"/>
        </w:rPr>
        <w:t xml:space="preserve">- </w:t>
      </w:r>
      <w:r w:rsidRPr="001E79BC">
        <w:rPr>
          <w:b/>
          <w:sz w:val="22"/>
        </w:rPr>
        <w:t>24.</w:t>
      </w:r>
    </w:p>
    <w:p w14:paraId="5BF89A43" w14:textId="1271A819" w:rsidR="005B7D9B" w:rsidRPr="001E79BC" w:rsidRDefault="004949EC" w:rsidP="003E12EE">
      <w:pPr>
        <w:pStyle w:val="Akapitzlist"/>
        <w:numPr>
          <w:ilvl w:val="0"/>
          <w:numId w:val="6"/>
        </w:numPr>
        <w:spacing w:after="100" w:afterAutospacing="1" w:line="372" w:lineRule="auto"/>
        <w:jc w:val="both"/>
        <w:rPr>
          <w:b/>
          <w:sz w:val="22"/>
        </w:rPr>
      </w:pPr>
      <w:r w:rsidRPr="001E79BC">
        <w:rPr>
          <w:b/>
          <w:sz w:val="22"/>
        </w:rPr>
        <w:t>Ładowarka USB,</w:t>
      </w:r>
      <w:r w:rsidR="005E3353" w:rsidRPr="001E79BC">
        <w:rPr>
          <w:b/>
          <w:sz w:val="22"/>
        </w:rPr>
        <w:t xml:space="preserve"> </w:t>
      </w:r>
      <w:r w:rsidR="003659BF" w:rsidRPr="001E79BC">
        <w:rPr>
          <w:b/>
          <w:sz w:val="22"/>
        </w:rPr>
        <w:t xml:space="preserve">zabawka typu slime, maseczka do ochrony osobistej </w:t>
      </w:r>
      <w:r w:rsidR="005E3353" w:rsidRPr="001E79BC">
        <w:rPr>
          <w:b/>
          <w:sz w:val="22"/>
        </w:rPr>
        <w:t xml:space="preserve">– to przykłady produktów, które usunęliśmy z rynku dzięki platformie RAPEX. </w:t>
      </w:r>
    </w:p>
    <w:p w14:paraId="3D4182C4" w14:textId="75D389E7" w:rsidR="00327B7B" w:rsidRPr="001E79BC" w:rsidRDefault="0010559C" w:rsidP="00AC5637">
      <w:pPr>
        <w:spacing w:after="100" w:afterAutospacing="1" w:line="372" w:lineRule="auto"/>
        <w:jc w:val="both"/>
        <w:rPr>
          <w:sz w:val="22"/>
        </w:rPr>
      </w:pPr>
      <w:r w:rsidRPr="001E79BC">
        <w:rPr>
          <w:b/>
          <w:sz w:val="22"/>
        </w:rPr>
        <w:t>[Wa</w:t>
      </w:r>
      <w:r w:rsidR="00A65F20" w:rsidRPr="001E79BC">
        <w:rPr>
          <w:b/>
          <w:sz w:val="22"/>
        </w:rPr>
        <w:t>rszawa,</w:t>
      </w:r>
      <w:r w:rsidR="006422DE" w:rsidRPr="001E79BC">
        <w:rPr>
          <w:b/>
          <w:sz w:val="22"/>
        </w:rPr>
        <w:t xml:space="preserve"> </w:t>
      </w:r>
      <w:r w:rsidR="00807721" w:rsidRPr="001E79BC">
        <w:rPr>
          <w:b/>
          <w:sz w:val="22"/>
        </w:rPr>
        <w:t>2 marca</w:t>
      </w:r>
      <w:r w:rsidR="007224B3" w:rsidRPr="001E79BC">
        <w:rPr>
          <w:b/>
          <w:sz w:val="22"/>
        </w:rPr>
        <w:t xml:space="preserve"> </w:t>
      </w:r>
      <w:r w:rsidR="00986C37" w:rsidRPr="001E79BC">
        <w:rPr>
          <w:b/>
          <w:sz w:val="22"/>
        </w:rPr>
        <w:t>20</w:t>
      </w:r>
      <w:r w:rsidR="00807721" w:rsidRPr="001E79BC">
        <w:rPr>
          <w:b/>
          <w:sz w:val="22"/>
        </w:rPr>
        <w:t>21</w:t>
      </w:r>
      <w:r w:rsidRPr="001E79BC">
        <w:rPr>
          <w:b/>
          <w:sz w:val="22"/>
        </w:rPr>
        <w:t xml:space="preserve"> r.]</w:t>
      </w:r>
      <w:r w:rsidR="001A6E5B" w:rsidRPr="001E79BC">
        <w:rPr>
          <w:sz w:val="22"/>
        </w:rPr>
        <w:t xml:space="preserve"> </w:t>
      </w:r>
      <w:hyperlink r:id="rId7" w:history="1">
        <w:r w:rsidR="00807721" w:rsidRPr="001E79BC">
          <w:rPr>
            <w:rStyle w:val="Hipercze"/>
            <w:sz w:val="22"/>
          </w:rPr>
          <w:t>System RAPEX – Safety Gate</w:t>
        </w:r>
      </w:hyperlink>
      <w:r w:rsidR="00807721" w:rsidRPr="001E79BC">
        <w:rPr>
          <w:sz w:val="22"/>
        </w:rPr>
        <w:t xml:space="preserve"> (Rapid Alert System for dangerous non-food products) to unijny system szybkiej wymiany informacji o niebezpiecznych produktach nieżywnościowych. </w:t>
      </w:r>
      <w:r w:rsidR="00327B7B" w:rsidRPr="001E79BC">
        <w:rPr>
          <w:sz w:val="22"/>
        </w:rPr>
        <w:t xml:space="preserve">Głównym </w:t>
      </w:r>
      <w:r w:rsidR="00182B7D" w:rsidRPr="001E79BC">
        <w:rPr>
          <w:sz w:val="22"/>
        </w:rPr>
        <w:t xml:space="preserve">jego </w:t>
      </w:r>
      <w:r w:rsidR="00327B7B" w:rsidRPr="001E79BC">
        <w:rPr>
          <w:sz w:val="22"/>
        </w:rPr>
        <w:t xml:space="preserve">celem jest zapewnienie </w:t>
      </w:r>
      <w:r w:rsidR="007D154C" w:rsidRPr="001E79BC">
        <w:rPr>
          <w:sz w:val="22"/>
        </w:rPr>
        <w:t>dobrej komunikacji</w:t>
      </w:r>
      <w:r w:rsidR="00327B7B" w:rsidRPr="001E79BC">
        <w:rPr>
          <w:sz w:val="22"/>
        </w:rPr>
        <w:t xml:space="preserve"> między członkami Unii i Komisją Europejską na temat produktów stwarzających zagrożenie. W systemie znajdują się także dane o działaniach, jakie podjęły państwa członkowskie bądź sami przedsiębiorcy, aby wykluczyć lub ograniczyć obrót niebezpiecznymi produktami. </w:t>
      </w:r>
      <w:r w:rsidR="00807721" w:rsidRPr="001E79BC">
        <w:rPr>
          <w:sz w:val="22"/>
        </w:rPr>
        <w:t>W systemie RAPEX uczestniczą państwa należące do Europejskiego Obszaru Gospodarczego (27 członków Unii Europejskiej oraz Islan</w:t>
      </w:r>
      <w:r w:rsidR="00AC5637" w:rsidRPr="001E79BC">
        <w:rPr>
          <w:sz w:val="22"/>
        </w:rPr>
        <w:t xml:space="preserve">dia, Liechtenstein i Norwegia). </w:t>
      </w:r>
    </w:p>
    <w:p w14:paraId="20C29503" w14:textId="77777777" w:rsidR="0056003D" w:rsidRDefault="0056003D" w:rsidP="00327B7B">
      <w:pPr>
        <w:spacing w:after="240" w:line="360" w:lineRule="auto"/>
        <w:jc w:val="both"/>
        <w:rPr>
          <w:sz w:val="22"/>
        </w:rPr>
      </w:pPr>
      <w:r w:rsidRPr="0056003D">
        <w:rPr>
          <w:sz w:val="22"/>
        </w:rPr>
        <w:t>- Aktywnie uczestniczymy w systemie RAPEX, zgłaszając niebezpieczne produkty wykryte w naszym kraju. Reagujemy również na zgłoszenia innych państw, szczególnie gdy za zagrożenie odpowiedzialny jest polski przedsiębiorca. Dzięki platformie RAPEX możliwa jest szybka eliminacja z rynku produktów niebezpiecznych. Podległa Prezesowi UOKiK Inspekcja Handlowa przez cały rok sprawdza jakość i bezpieczeństwo zabawek, mebli, narzędzi i wielu innych produktów dostępnych w polskich sklepach. Korzystają na tym konsumenci, którzy powinni mieć dostęp wyłącznie do bezpiecznych artykułów – wyjaśnia Tomasz Chróstny, Prezes UOKiK.</w:t>
      </w:r>
    </w:p>
    <w:p w14:paraId="052FAF9C" w14:textId="45531E6A" w:rsidR="00EE654D" w:rsidRPr="001E79BC" w:rsidRDefault="00EE654D" w:rsidP="00327B7B">
      <w:pPr>
        <w:spacing w:after="240" w:line="360" w:lineRule="auto"/>
        <w:jc w:val="both"/>
        <w:rPr>
          <w:sz w:val="22"/>
        </w:rPr>
      </w:pPr>
      <w:r w:rsidRPr="001E79BC">
        <w:rPr>
          <w:sz w:val="22"/>
        </w:rPr>
        <w:t xml:space="preserve">System </w:t>
      </w:r>
      <w:r w:rsidR="00BF491D" w:rsidRPr="001E79BC">
        <w:rPr>
          <w:sz w:val="22"/>
        </w:rPr>
        <w:t xml:space="preserve">RAPEX </w:t>
      </w:r>
      <w:r w:rsidRPr="001E79BC">
        <w:rPr>
          <w:sz w:val="22"/>
        </w:rPr>
        <w:t xml:space="preserve">obejmuje </w:t>
      </w:r>
      <w:r w:rsidRPr="001E79BC">
        <w:rPr>
          <w:b/>
          <w:sz w:val="22"/>
        </w:rPr>
        <w:t>produkty nieżywnościowe przeznaczone dla konsumentów oraz takie, co do których istnieje prawdopodobieństwo, że mogą zostać przez nich użyte.</w:t>
      </w:r>
      <w:r w:rsidRPr="001E79BC">
        <w:rPr>
          <w:sz w:val="22"/>
        </w:rPr>
        <w:t xml:space="preserve"> Rejestr nie zawiera natomiast informacji na temat środków farmaceutycznych, wyrobów medycznych, pasz ani żywności - ta ostatnia grupa posiada własny system (</w:t>
      </w:r>
      <w:hyperlink r:id="rId8" w:history="1">
        <w:r w:rsidRPr="001E79BC">
          <w:rPr>
            <w:rStyle w:val="Hipercze"/>
            <w:sz w:val="22"/>
          </w:rPr>
          <w:t>RASFF</w:t>
        </w:r>
      </w:hyperlink>
      <w:r w:rsidRPr="001E79BC">
        <w:rPr>
          <w:sz w:val="22"/>
        </w:rPr>
        <w:t>).</w:t>
      </w:r>
    </w:p>
    <w:p w14:paraId="7790EB56" w14:textId="77777777" w:rsidR="005B7D9B" w:rsidRPr="001E79BC" w:rsidRDefault="005B7D9B" w:rsidP="00807721">
      <w:pPr>
        <w:spacing w:after="100" w:afterAutospacing="1" w:line="372" w:lineRule="auto"/>
        <w:jc w:val="both"/>
        <w:rPr>
          <w:b/>
          <w:sz w:val="22"/>
        </w:rPr>
      </w:pPr>
      <w:r w:rsidRPr="001E79BC">
        <w:rPr>
          <w:b/>
          <w:sz w:val="22"/>
        </w:rPr>
        <w:lastRenderedPageBreak/>
        <w:t>Nasze działania w 2020 roku</w:t>
      </w:r>
    </w:p>
    <w:p w14:paraId="7D1D6811" w14:textId="57E3E13F" w:rsidR="00B73F22" w:rsidRPr="001E79BC" w:rsidRDefault="00327B7B" w:rsidP="00EE654D">
      <w:pPr>
        <w:spacing w:after="240" w:line="360" w:lineRule="auto"/>
        <w:jc w:val="both"/>
        <w:rPr>
          <w:sz w:val="22"/>
        </w:rPr>
      </w:pPr>
      <w:r w:rsidRPr="001E79BC">
        <w:rPr>
          <w:sz w:val="22"/>
        </w:rPr>
        <w:t xml:space="preserve">Jak wynika z ostatniego raportu Komisji Europejskiej, dotyczącego funkcjonowania RAPEX, </w:t>
      </w:r>
      <w:r w:rsidR="00C540F1" w:rsidRPr="001E79BC">
        <w:rPr>
          <w:sz w:val="22"/>
        </w:rPr>
        <w:t>od 2013 roku</w:t>
      </w:r>
      <w:r w:rsidRPr="001E79BC">
        <w:rPr>
          <w:sz w:val="22"/>
        </w:rPr>
        <w:t xml:space="preserve"> liczba powiadomień dotyczących niebezpiecznych produktów wzrosła </w:t>
      </w:r>
      <w:r w:rsidR="00C540F1" w:rsidRPr="001E79BC">
        <w:rPr>
          <w:sz w:val="22"/>
        </w:rPr>
        <w:t xml:space="preserve">prawie pięciokrotnie. </w:t>
      </w:r>
      <w:r w:rsidR="00807721" w:rsidRPr="001E79BC">
        <w:rPr>
          <w:sz w:val="22"/>
        </w:rPr>
        <w:t xml:space="preserve">W 2020 r. Urząd Ochrony Konkurencji i Konsumentów </w:t>
      </w:r>
      <w:r w:rsidR="005E3353" w:rsidRPr="001E79BC">
        <w:rPr>
          <w:b/>
          <w:sz w:val="22"/>
        </w:rPr>
        <w:t>przekazał 148 zgłoszeń dotyczących prawie 3,5 mln sztuk niebezpiecznych produktów</w:t>
      </w:r>
      <w:r w:rsidR="005E3353" w:rsidRPr="001E79BC">
        <w:rPr>
          <w:sz w:val="22"/>
        </w:rPr>
        <w:t>.</w:t>
      </w:r>
      <w:r w:rsidR="00807721" w:rsidRPr="001E79BC">
        <w:rPr>
          <w:sz w:val="22"/>
        </w:rPr>
        <w:t xml:space="preserve"> </w:t>
      </w:r>
      <w:r w:rsidR="005E3353" w:rsidRPr="001E79BC">
        <w:rPr>
          <w:sz w:val="22"/>
        </w:rPr>
        <w:t>Plasujemy się na</w:t>
      </w:r>
      <w:r w:rsidR="00807721" w:rsidRPr="001E79BC">
        <w:rPr>
          <w:sz w:val="22"/>
        </w:rPr>
        <w:t xml:space="preserve"> </w:t>
      </w:r>
      <w:r w:rsidR="005054F5" w:rsidRPr="001E79BC">
        <w:rPr>
          <w:b/>
          <w:sz w:val="22"/>
        </w:rPr>
        <w:t xml:space="preserve">czwartej </w:t>
      </w:r>
      <w:r w:rsidR="005E3353" w:rsidRPr="001E79BC">
        <w:rPr>
          <w:b/>
          <w:sz w:val="22"/>
        </w:rPr>
        <w:t>pozycji</w:t>
      </w:r>
      <w:r w:rsidR="00807721" w:rsidRPr="001E79BC">
        <w:rPr>
          <w:b/>
          <w:sz w:val="22"/>
        </w:rPr>
        <w:t xml:space="preserve"> wśród państw uczestniczących w systemie</w:t>
      </w:r>
      <w:r w:rsidR="00807721" w:rsidRPr="001E79BC">
        <w:rPr>
          <w:sz w:val="22"/>
        </w:rPr>
        <w:t xml:space="preserve"> (za Niemcami – 430 notyfikacji</w:t>
      </w:r>
      <w:r w:rsidR="005054F5" w:rsidRPr="001E79BC">
        <w:rPr>
          <w:sz w:val="22"/>
        </w:rPr>
        <w:t>, Wielką Brytanią – 309 notyfikacji</w:t>
      </w:r>
      <w:r w:rsidR="00807721" w:rsidRPr="001E79BC">
        <w:rPr>
          <w:sz w:val="22"/>
        </w:rPr>
        <w:t xml:space="preserve"> oraz Węgrami – 169 notyfikacji). </w:t>
      </w:r>
      <w:r w:rsidR="00BF491D" w:rsidRPr="001E79BC">
        <w:rPr>
          <w:sz w:val="22"/>
        </w:rPr>
        <w:t>Polskie z</w:t>
      </w:r>
      <w:r w:rsidR="005B7D9B" w:rsidRPr="001E79BC">
        <w:rPr>
          <w:sz w:val="22"/>
        </w:rPr>
        <w:t xml:space="preserve">głoszenia dotyczyły w największym stopniu </w:t>
      </w:r>
      <w:r w:rsidR="005B7D9B" w:rsidRPr="001E79BC">
        <w:rPr>
          <w:b/>
          <w:sz w:val="22"/>
        </w:rPr>
        <w:t xml:space="preserve">zabawek - 73, sprzętu elektrycznego i oświetleniowego – 28 oraz sprzętu ochrony indywidualnej </w:t>
      </w:r>
      <w:r w:rsidR="00BF491D" w:rsidRPr="001E79BC">
        <w:rPr>
          <w:b/>
          <w:sz w:val="22"/>
        </w:rPr>
        <w:t xml:space="preserve">- </w:t>
      </w:r>
      <w:r w:rsidR="005B7D9B" w:rsidRPr="001E79BC">
        <w:rPr>
          <w:b/>
          <w:sz w:val="22"/>
        </w:rPr>
        <w:t>24</w:t>
      </w:r>
      <w:r w:rsidR="005B7D9B" w:rsidRPr="001E79BC">
        <w:rPr>
          <w:sz w:val="22"/>
        </w:rPr>
        <w:t>.</w:t>
      </w:r>
    </w:p>
    <w:p w14:paraId="0A023CFB" w14:textId="74390436" w:rsidR="00C540F1" w:rsidRPr="001E79BC" w:rsidRDefault="00633FB1" w:rsidP="00EE654D">
      <w:pPr>
        <w:spacing w:after="240" w:line="360" w:lineRule="auto"/>
        <w:jc w:val="both"/>
        <w:rPr>
          <w:sz w:val="22"/>
        </w:rPr>
      </w:pPr>
      <w:r w:rsidRPr="001E79BC">
        <w:rPr>
          <w:sz w:val="22"/>
        </w:rPr>
        <w:t>Notyfikacje dotyczące zabawek dotyczyły</w:t>
      </w:r>
      <w:r w:rsidR="0072293A" w:rsidRPr="001E79BC">
        <w:rPr>
          <w:sz w:val="22"/>
        </w:rPr>
        <w:t xml:space="preserve"> głównie ich wad konstrukcyjnych lub</w:t>
      </w:r>
      <w:r w:rsidR="00C540F1" w:rsidRPr="001E79BC">
        <w:rPr>
          <w:sz w:val="22"/>
        </w:rPr>
        <w:t xml:space="preserve"> </w:t>
      </w:r>
      <w:r w:rsidR="00081BD3" w:rsidRPr="001E79BC">
        <w:rPr>
          <w:sz w:val="22"/>
        </w:rPr>
        <w:t>materiałów,</w:t>
      </w:r>
      <w:r w:rsidR="00C540F1" w:rsidRPr="001E79BC">
        <w:rPr>
          <w:sz w:val="22"/>
        </w:rPr>
        <w:t xml:space="preserve"> z </w:t>
      </w:r>
      <w:r w:rsidR="00081BD3" w:rsidRPr="001E79BC">
        <w:rPr>
          <w:sz w:val="22"/>
        </w:rPr>
        <w:t xml:space="preserve">jakich </w:t>
      </w:r>
      <w:r w:rsidR="00C540F1" w:rsidRPr="001E79BC">
        <w:rPr>
          <w:sz w:val="22"/>
        </w:rPr>
        <w:t>są wykonane</w:t>
      </w:r>
      <w:r w:rsidR="00081BD3" w:rsidRPr="001E79BC">
        <w:rPr>
          <w:sz w:val="22"/>
        </w:rPr>
        <w:t>, w tym ich</w:t>
      </w:r>
      <w:r w:rsidR="00C540F1" w:rsidRPr="001E79BC">
        <w:rPr>
          <w:sz w:val="22"/>
        </w:rPr>
        <w:t xml:space="preserve"> </w:t>
      </w:r>
      <w:r w:rsidR="002432A1" w:rsidRPr="001E79BC">
        <w:rPr>
          <w:sz w:val="22"/>
        </w:rPr>
        <w:t>składu chemicznego</w:t>
      </w:r>
      <w:r w:rsidR="00C540F1" w:rsidRPr="001E79BC">
        <w:rPr>
          <w:sz w:val="22"/>
        </w:rPr>
        <w:t>. Z</w:t>
      </w:r>
      <w:r w:rsidR="0072293A" w:rsidRPr="001E79BC">
        <w:rPr>
          <w:sz w:val="22"/>
        </w:rPr>
        <w:t>agrożenie dla najmłodszych konsumentów mogą stanowić</w:t>
      </w:r>
      <w:r w:rsidR="00C540F1" w:rsidRPr="001E79BC">
        <w:rPr>
          <w:sz w:val="22"/>
        </w:rPr>
        <w:t xml:space="preserve"> również</w:t>
      </w:r>
      <w:r w:rsidR="0072293A" w:rsidRPr="001E79BC">
        <w:rPr>
          <w:sz w:val="22"/>
        </w:rPr>
        <w:t xml:space="preserve"> zbyt małe elementy, które łatwo odłączają się od zabawki i mogą zostać połknięte przez dziecko. Do systemu RAPEX zgł</w:t>
      </w:r>
      <w:r w:rsidR="00C540F1" w:rsidRPr="001E79BC">
        <w:rPr>
          <w:sz w:val="22"/>
        </w:rPr>
        <w:t>osiliśmy</w:t>
      </w:r>
      <w:r w:rsidR="0072293A" w:rsidRPr="001E79BC">
        <w:rPr>
          <w:sz w:val="22"/>
        </w:rPr>
        <w:t xml:space="preserve"> </w:t>
      </w:r>
      <w:r w:rsidR="00C540F1" w:rsidRPr="001E79BC">
        <w:rPr>
          <w:sz w:val="22"/>
        </w:rPr>
        <w:t>m.in.</w:t>
      </w:r>
      <w:r w:rsidR="0072293A" w:rsidRPr="001E79BC">
        <w:rPr>
          <w:sz w:val="22"/>
        </w:rPr>
        <w:t xml:space="preserve"> lalki zawierające ftalany, tj.  estry kwasu ftalowego, które zmiękcza</w:t>
      </w:r>
      <w:r w:rsidR="00C540F1" w:rsidRPr="001E79BC">
        <w:rPr>
          <w:sz w:val="22"/>
        </w:rPr>
        <w:t xml:space="preserve">ją </w:t>
      </w:r>
      <w:r w:rsidR="0072293A" w:rsidRPr="001E79BC">
        <w:rPr>
          <w:sz w:val="22"/>
        </w:rPr>
        <w:t xml:space="preserve">plastik i nadają mu elastyczność. </w:t>
      </w:r>
      <w:r w:rsidR="00C540F1" w:rsidRPr="001E79BC">
        <w:rPr>
          <w:sz w:val="22"/>
        </w:rPr>
        <w:t xml:space="preserve">Ich dopuszczalna ilość w zabawkach to nie więcej niż </w:t>
      </w:r>
      <w:r w:rsidR="0072293A" w:rsidRPr="001E79BC">
        <w:rPr>
          <w:sz w:val="22"/>
        </w:rPr>
        <w:t xml:space="preserve">0,1 proc. Wyższe stężenie jest niebezpieczne dla zdrowia - może powodować zaburzenia płodności, grozić uszkodzeniem nerek lub wątroby, rozwojem astmy, a nawet nowotworów. </w:t>
      </w:r>
    </w:p>
    <w:p w14:paraId="14A73B1F" w14:textId="036860AE" w:rsidR="0072293A" w:rsidRPr="001E79BC" w:rsidRDefault="0072293A" w:rsidP="00EE654D">
      <w:pPr>
        <w:spacing w:after="240" w:line="360" w:lineRule="auto"/>
        <w:jc w:val="both"/>
        <w:rPr>
          <w:sz w:val="22"/>
        </w:rPr>
      </w:pPr>
      <w:r w:rsidRPr="001E79BC">
        <w:rPr>
          <w:sz w:val="22"/>
        </w:rPr>
        <w:t xml:space="preserve">Do systemu RAPEX </w:t>
      </w:r>
      <w:r w:rsidRPr="001E79BC">
        <w:rPr>
          <w:bCs/>
          <w:sz w:val="22"/>
        </w:rPr>
        <w:t xml:space="preserve">trafiły </w:t>
      </w:r>
      <w:r w:rsidR="00C540F1" w:rsidRPr="001E79BC">
        <w:rPr>
          <w:bCs/>
          <w:sz w:val="22"/>
        </w:rPr>
        <w:t>również</w:t>
      </w:r>
      <w:r w:rsidRPr="001E79BC">
        <w:rPr>
          <w:bCs/>
          <w:sz w:val="22"/>
        </w:rPr>
        <w:t xml:space="preserve"> popularne slime’y zwane glutkami</w:t>
      </w:r>
      <w:r w:rsidRPr="001E79BC">
        <w:rPr>
          <w:sz w:val="22"/>
        </w:rPr>
        <w:t xml:space="preserve">. To miękkie zabawki o konsystencji galaretki lub żelu, łatwe do ugniatania. W zabawkach tych </w:t>
      </w:r>
      <w:r w:rsidR="002432A1" w:rsidRPr="001E79BC">
        <w:rPr>
          <w:sz w:val="22"/>
        </w:rPr>
        <w:t xml:space="preserve">eksperci z laboratorium UOKiK stwierdzili </w:t>
      </w:r>
      <w:r w:rsidRPr="001E79BC">
        <w:rPr>
          <w:sz w:val="22"/>
        </w:rPr>
        <w:t>przekroczoną migrację boru</w:t>
      </w:r>
      <w:r w:rsidR="00C540F1" w:rsidRPr="001E79BC">
        <w:rPr>
          <w:sz w:val="22"/>
        </w:rPr>
        <w:t>, nadającego zabawce elastyczności. N</w:t>
      </w:r>
      <w:r w:rsidRPr="001E79BC">
        <w:rPr>
          <w:sz w:val="22"/>
        </w:rPr>
        <w:t xml:space="preserve">ie </w:t>
      </w:r>
      <w:r w:rsidR="002432A1" w:rsidRPr="001E79BC">
        <w:rPr>
          <w:sz w:val="22"/>
        </w:rPr>
        <w:t xml:space="preserve">powinno </w:t>
      </w:r>
      <w:r w:rsidRPr="001E79BC">
        <w:rPr>
          <w:sz w:val="22"/>
        </w:rPr>
        <w:t xml:space="preserve">być go więcej niż 300 mg/kg. W przeciwnym razie może powodować mdłości, wymioty, </w:t>
      </w:r>
      <w:r w:rsidR="002432A1" w:rsidRPr="001E79BC">
        <w:rPr>
          <w:sz w:val="22"/>
        </w:rPr>
        <w:t xml:space="preserve">nadmierne </w:t>
      </w:r>
      <w:r w:rsidRPr="001E79BC">
        <w:rPr>
          <w:sz w:val="22"/>
        </w:rPr>
        <w:t>pobudzenie</w:t>
      </w:r>
      <w:r w:rsidR="002432A1" w:rsidRPr="001E79BC">
        <w:rPr>
          <w:sz w:val="22"/>
        </w:rPr>
        <w:t>,</w:t>
      </w:r>
      <w:r w:rsidRPr="001E79BC">
        <w:rPr>
          <w:sz w:val="22"/>
        </w:rPr>
        <w:t xml:space="preserve"> </w:t>
      </w:r>
      <w:r w:rsidR="00C540F1" w:rsidRPr="001E79BC">
        <w:rPr>
          <w:sz w:val="22"/>
        </w:rPr>
        <w:t>a</w:t>
      </w:r>
      <w:r w:rsidRPr="001E79BC">
        <w:rPr>
          <w:sz w:val="22"/>
        </w:rPr>
        <w:t xml:space="preserve"> nawet zaburzenia układu nerwowego. </w:t>
      </w:r>
    </w:p>
    <w:p w14:paraId="5BB66F2A" w14:textId="23371CC8" w:rsidR="002B1AB1" w:rsidRPr="001E79BC" w:rsidRDefault="0056003D" w:rsidP="00EE654D">
      <w:pPr>
        <w:spacing w:after="240" w:line="360" w:lineRule="auto"/>
        <w:jc w:val="both"/>
        <w:rPr>
          <w:sz w:val="22"/>
        </w:rPr>
      </w:pPr>
      <w:r>
        <w:rPr>
          <w:sz w:val="22"/>
          <w:highlight w:val="yellow"/>
        </w:rPr>
        <w:lastRenderedPageBreak/>
        <w:pict w14:anchorId="585FBC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55pt">
            <v:imagedata r:id="rId9" o:title="L2"/>
          </v:shape>
        </w:pict>
      </w:r>
      <w:r>
        <w:rPr>
          <w:sz w:val="22"/>
          <w:highlight w:val="yellow"/>
        </w:rPr>
        <w:pict w14:anchorId="1A4BD56B">
          <v:shape id="_x0000_i1026" type="#_x0000_t75" style="width:453.75pt;height:255pt">
            <v:imagedata r:id="rId10" o:title="L3"/>
          </v:shape>
        </w:pict>
      </w:r>
      <w:r>
        <w:rPr>
          <w:sz w:val="22"/>
          <w:highlight w:val="yellow"/>
        </w:rPr>
        <w:lastRenderedPageBreak/>
        <w:pict w14:anchorId="7A2840F6">
          <v:shape id="_x0000_i1027" type="#_x0000_t75" style="width:453.75pt;height:255pt">
            <v:imagedata r:id="rId11" o:title="L4"/>
          </v:shape>
        </w:pict>
      </w:r>
      <w:r>
        <w:rPr>
          <w:sz w:val="22"/>
          <w:highlight w:val="yellow"/>
        </w:rPr>
        <w:pict w14:anchorId="1182A49E">
          <v:shape id="_x0000_i1028" type="#_x0000_t75" style="width:453.75pt;height:255pt">
            <v:imagedata r:id="rId12" o:title="L1"/>
          </v:shape>
        </w:pict>
      </w:r>
    </w:p>
    <w:p w14:paraId="6C2E59FF" w14:textId="007E24B0" w:rsidR="00D511C1" w:rsidRPr="001E79BC" w:rsidRDefault="00780659" w:rsidP="00807721">
      <w:pPr>
        <w:spacing w:after="100" w:afterAutospacing="1" w:line="372" w:lineRule="auto"/>
        <w:jc w:val="both"/>
        <w:rPr>
          <w:sz w:val="22"/>
        </w:rPr>
      </w:pPr>
      <w:hyperlink r:id="rId13" w:history="1">
        <w:r w:rsidR="003E12EE" w:rsidRPr="00780659">
          <w:rPr>
            <w:rStyle w:val="Hipercze"/>
            <w:sz w:val="22"/>
          </w:rPr>
          <w:t>Pobierz raport</w:t>
        </w:r>
      </w:hyperlink>
      <w:bookmarkStart w:id="0" w:name="_GoBack"/>
      <w:bookmarkEnd w:id="0"/>
      <w:r w:rsidR="003E12EE" w:rsidRPr="001E79BC">
        <w:rPr>
          <w:sz w:val="22"/>
        </w:rPr>
        <w:t xml:space="preserve"> Komisji Europejskiej podsumowujący system RAPEX – Gate Safety w 2020 roku. </w:t>
      </w:r>
    </w:p>
    <w:p w14:paraId="4AF17CA7" w14:textId="77777777" w:rsidR="001E79BC" w:rsidRDefault="001E79BC" w:rsidP="00681C82">
      <w:pPr>
        <w:spacing w:after="160" w:line="259" w:lineRule="auto"/>
        <w:rPr>
          <w:rFonts w:eastAsiaTheme="minorHAnsi" w:cstheme="minorHAnsi"/>
          <w:b/>
          <w:bCs/>
          <w:color w:val="000000" w:themeColor="text1"/>
          <w:sz w:val="22"/>
        </w:rPr>
      </w:pPr>
    </w:p>
    <w:p w14:paraId="3C31DE6C" w14:textId="77777777" w:rsidR="001E79BC" w:rsidRDefault="001E79BC" w:rsidP="00681C82">
      <w:pPr>
        <w:spacing w:after="160" w:line="259" w:lineRule="auto"/>
        <w:rPr>
          <w:rFonts w:eastAsiaTheme="minorHAnsi" w:cstheme="minorHAnsi"/>
          <w:b/>
          <w:bCs/>
          <w:color w:val="000000" w:themeColor="text1"/>
          <w:sz w:val="22"/>
        </w:rPr>
      </w:pPr>
    </w:p>
    <w:p w14:paraId="4079CA98" w14:textId="2D47F294" w:rsidR="00681C82" w:rsidRPr="00681C82" w:rsidRDefault="00681C82" w:rsidP="00681C82">
      <w:pPr>
        <w:spacing w:after="160" w:line="259" w:lineRule="auto"/>
        <w:rPr>
          <w:rFonts w:eastAsiaTheme="minorHAnsi" w:cstheme="minorHAnsi"/>
          <w:color w:val="000000" w:themeColor="text1"/>
          <w:sz w:val="22"/>
        </w:rPr>
      </w:pPr>
      <w:r w:rsidRPr="00681C82">
        <w:rPr>
          <w:rFonts w:eastAsiaTheme="minorHAnsi" w:cstheme="minorHAnsi"/>
          <w:b/>
          <w:bCs/>
          <w:color w:val="000000" w:themeColor="text1"/>
          <w:sz w:val="22"/>
        </w:rPr>
        <w:lastRenderedPageBreak/>
        <w:t>Pomoc dla konsumentów:</w:t>
      </w:r>
    </w:p>
    <w:p w14:paraId="1FAAC40F" w14:textId="2258D7B9" w:rsidR="002432A1" w:rsidRPr="001E79BC" w:rsidRDefault="00681C82" w:rsidP="001E79BC">
      <w:pPr>
        <w:spacing w:after="160" w:line="259" w:lineRule="auto"/>
        <w:rPr>
          <w:rFonts w:eastAsiaTheme="minorHAnsi" w:cstheme="minorHAnsi"/>
          <w:color w:val="000000" w:themeColor="text1"/>
          <w:sz w:val="22"/>
        </w:rPr>
      </w:pPr>
      <w:r w:rsidRPr="00681C82">
        <w:rPr>
          <w:rFonts w:eastAsiaTheme="minorHAnsi" w:cstheme="minorHAnsi"/>
          <w:color w:val="000000" w:themeColor="text1"/>
          <w:sz w:val="22"/>
        </w:rPr>
        <w:t>Tel. 801 440 220 lub 22 290 89 16 – infolinia konsumencka</w:t>
      </w:r>
      <w:r w:rsidRPr="00681C82">
        <w:rPr>
          <w:rFonts w:eastAsiaTheme="minorHAnsi" w:cstheme="minorHAnsi"/>
          <w:color w:val="000000" w:themeColor="text1"/>
          <w:sz w:val="22"/>
        </w:rPr>
        <w:br/>
        <w:t>E-mail: </w:t>
      </w:r>
      <w:hyperlink r:id="rId14" w:history="1">
        <w:r w:rsidRPr="001E79BC">
          <w:rPr>
            <w:rFonts w:eastAsiaTheme="minorHAnsi" w:cstheme="minorHAnsi"/>
            <w:color w:val="000000" w:themeColor="text1"/>
            <w:sz w:val="22"/>
            <w:u w:val="single"/>
          </w:rPr>
          <w:t>porady@dlakonsumentow.pl</w:t>
        </w:r>
      </w:hyperlink>
      <w:r w:rsidRPr="00681C82">
        <w:rPr>
          <w:rFonts w:eastAsiaTheme="minorHAnsi" w:cstheme="minorHAnsi"/>
          <w:color w:val="000000" w:themeColor="text1"/>
          <w:sz w:val="22"/>
        </w:rPr>
        <w:br/>
      </w:r>
      <w:hyperlink r:id="rId15" w:tgtFrame="_blank" w:history="1">
        <w:r w:rsidRPr="001E79BC">
          <w:rPr>
            <w:rFonts w:eastAsiaTheme="minorHAnsi" w:cstheme="minorHAnsi"/>
            <w:color w:val="000000" w:themeColor="text1"/>
            <w:sz w:val="22"/>
            <w:u w:val="single"/>
          </w:rPr>
          <w:t>Rzecznicy konsumentów</w:t>
        </w:r>
      </w:hyperlink>
      <w:r w:rsidRPr="00681C82">
        <w:rPr>
          <w:rFonts w:eastAsiaTheme="minorHAnsi" w:cstheme="minorHAnsi"/>
          <w:color w:val="000000" w:themeColor="text1"/>
          <w:sz w:val="22"/>
        </w:rPr>
        <w:t> – w Twoim mieście lub powiecie</w:t>
      </w:r>
      <w:r w:rsidRPr="00681C82">
        <w:rPr>
          <w:rFonts w:eastAsiaTheme="minorHAnsi" w:cstheme="minorHAnsi"/>
          <w:color w:val="000000" w:themeColor="text1"/>
          <w:sz w:val="22"/>
        </w:rPr>
        <w:br/>
      </w:r>
      <w:hyperlink r:id="rId16" w:anchor="faq595" w:history="1">
        <w:r w:rsidRPr="001E79BC">
          <w:rPr>
            <w:rFonts w:eastAsiaTheme="minorHAnsi" w:cstheme="minorHAnsi"/>
            <w:color w:val="0000FF"/>
            <w:sz w:val="22"/>
            <w:u w:val="single"/>
          </w:rPr>
          <w:t>Inspekcja Handlowa</w:t>
        </w:r>
      </w:hyperlink>
      <w:r w:rsidRPr="00681C82">
        <w:rPr>
          <w:rFonts w:eastAsiaTheme="minorHAnsi" w:cstheme="minorHAnsi"/>
          <w:color w:val="000000" w:themeColor="text1"/>
          <w:sz w:val="22"/>
        </w:rPr>
        <w:t xml:space="preserve"> – w Twoim województwie</w:t>
      </w:r>
    </w:p>
    <w:sectPr w:rsidR="002432A1" w:rsidRPr="001E79BC" w:rsidSect="00240013">
      <w:headerReference w:type="default" r:id="rId17"/>
      <w:footerReference w:type="default" r:id="rId18"/>
      <w:pgSz w:w="11906" w:h="16838"/>
      <w:pgMar w:top="2127" w:right="1417" w:bottom="2127" w:left="1417" w:header="680" w:footer="680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E9BA678" w16cid:durableId="23E21B38"/>
  <w16cid:commentId w16cid:paraId="64F6BF96" w16cid:durableId="23E21B52"/>
  <w16cid:commentId w16cid:paraId="22862FA7" w16cid:durableId="23E21B2F"/>
  <w16cid:commentId w16cid:paraId="10DEDC5B" w16cid:durableId="23E21B30"/>
  <w16cid:commentId w16cid:paraId="7AAED73F" w16cid:durableId="23E21B79"/>
  <w16cid:commentId w16cid:paraId="7B8B13A6" w16cid:durableId="23E21E8E"/>
  <w16cid:commentId w16cid:paraId="475CC732" w16cid:durableId="23E21D3E"/>
  <w16cid:commentId w16cid:paraId="41D24E4C" w16cid:durableId="23E21E95"/>
  <w16cid:commentId w16cid:paraId="7D48A904" w16cid:durableId="23E21C8B"/>
  <w16cid:commentId w16cid:paraId="5FE52661" w16cid:durableId="23E21D81"/>
  <w16cid:commentId w16cid:paraId="143B8D46" w16cid:durableId="23E21DCF"/>
  <w16cid:commentId w16cid:paraId="671A94F5" w16cid:durableId="23E21DD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3B7311" w14:textId="77777777" w:rsidR="005E7020" w:rsidRDefault="005E7020">
      <w:r>
        <w:separator/>
      </w:r>
    </w:p>
  </w:endnote>
  <w:endnote w:type="continuationSeparator" w:id="0">
    <w:p w14:paraId="6B5A0AB4" w14:textId="77777777" w:rsidR="005E7020" w:rsidRDefault="005E7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F87961" w14:textId="77777777" w:rsidR="0059016B" w:rsidRPr="00B512B5" w:rsidRDefault="008D527A" w:rsidP="008D527A">
    <w:pPr>
      <w:pStyle w:val="Stopka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noProof/>
        <w:color w:val="595959" w:themeColor="text1" w:themeTint="A6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FA95854" wp14:editId="5EAE5D90">
              <wp:simplePos x="0" y="0"/>
              <wp:positionH relativeFrom="margin">
                <wp:align>left</wp:align>
              </wp:positionH>
              <wp:positionV relativeFrom="paragraph">
                <wp:posOffset>-78740</wp:posOffset>
              </wp:positionV>
              <wp:extent cx="3524250" cy="0"/>
              <wp:effectExtent l="0" t="0" r="19050" b="1905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2425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C46E923" id="Łącznik prosty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6.2pt" to="277.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" strokecolor="#5a5a5a [2109]" strokeweight=".5pt">
              <v:stroke joinstyle="miter"/>
              <w10:wrap anchorx="margin"/>
            </v:line>
          </w:pict>
        </mc:Fallback>
      </mc:AlternateConten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WWW.UOKiK.GOV.PL   TELEFON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55 60 246    TELEFON KOM. 695 902</w:t>
    </w:r>
    <w:r w:rsidR="006A2065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 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088</w:t>
    </w:r>
  </w:p>
  <w:p w14:paraId="155555D5" w14:textId="77777777" w:rsidR="0059016B" w:rsidRPr="00B512B5" w:rsidRDefault="00746549" w:rsidP="008D527A">
    <w:pPr>
      <w:pStyle w:val="TEKSTKOMUNIKATU"/>
      <w:spacing w:after="120" w:line="240" w:lineRule="auto"/>
      <w:jc w:val="left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Departament Komunikacji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 UOKiK  Pl. Powstańców Warszawy 1, 00-950 Warszawa 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br/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E-mail: </w:t>
    </w:r>
    <w:hyperlink r:id="rId1" w:history="1">
      <w:r w:rsidR="008C53D0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biuroprasowe@uokik.gov.pl</w:t>
      </w:r>
    </w:hyperlink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Twitter: </w:t>
    </w:r>
    <w:hyperlink r:id="rId2" w:history="1">
      <w:r w:rsidR="00C21071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</w:t>
      </w:r>
      <w:r w:rsidR="00C21071" w:rsidRPr="00B512B5">
        <w:rPr>
          <w:rStyle w:val="u-linkcomplex-target"/>
          <w:rFonts w:asciiTheme="minorHAnsi" w:hAnsiTheme="minorHAnsi" w:cstheme="minorHAnsi"/>
          <w:color w:val="595959" w:themeColor="text1" w:themeTint="A6"/>
          <w:sz w:val="16"/>
          <w:szCs w:val="16"/>
          <w:u w:val="single"/>
          <w:lang w:val="pl-PL"/>
        </w:rPr>
        <w:t>UOKiKgovPL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98473C" w14:textId="77777777" w:rsidR="005E7020" w:rsidRDefault="005E7020">
      <w:r>
        <w:separator/>
      </w:r>
    </w:p>
  </w:footnote>
  <w:footnote w:type="continuationSeparator" w:id="0">
    <w:p w14:paraId="5DC1F8D0" w14:textId="77777777" w:rsidR="005E7020" w:rsidRDefault="005E70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8243F1" w14:textId="77777777" w:rsidR="0059016B" w:rsidRDefault="00C81210" w:rsidP="0041396E">
    <w:pPr>
      <w:pStyle w:val="Nagwek"/>
      <w:tabs>
        <w:tab w:val="clear" w:pos="9072"/>
      </w:tabs>
    </w:pPr>
    <w:r>
      <w:rPr>
        <w:noProof/>
        <w:lang w:val="pl-PL" w:eastAsia="pl-PL"/>
      </w:rPr>
      <w:drawing>
        <wp:inline distT="0" distB="0" distL="0" distR="0" wp14:anchorId="13322DE9" wp14:editId="071805F6">
          <wp:extent cx="1400175" cy="542764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2403" cy="559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07EFD"/>
    <w:multiLevelType w:val="multilevel"/>
    <w:tmpl w:val="E4AA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413A51"/>
    <w:multiLevelType w:val="hybridMultilevel"/>
    <w:tmpl w:val="53F2E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7A1DE0"/>
    <w:multiLevelType w:val="hybridMultilevel"/>
    <w:tmpl w:val="B9347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CA0AB4"/>
    <w:multiLevelType w:val="multilevel"/>
    <w:tmpl w:val="8174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F3395D"/>
    <w:multiLevelType w:val="hybridMultilevel"/>
    <w:tmpl w:val="A44CA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2115E5"/>
    <w:multiLevelType w:val="hybridMultilevel"/>
    <w:tmpl w:val="5A7E22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8B13ED"/>
    <w:multiLevelType w:val="hybridMultilevel"/>
    <w:tmpl w:val="5E96F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9FA"/>
    <w:rsid w:val="00002C19"/>
    <w:rsid w:val="0000713A"/>
    <w:rsid w:val="00007E00"/>
    <w:rsid w:val="00011AF2"/>
    <w:rsid w:val="00023634"/>
    <w:rsid w:val="0002523D"/>
    <w:rsid w:val="00027ECE"/>
    <w:rsid w:val="00042F96"/>
    <w:rsid w:val="000651E9"/>
    <w:rsid w:val="00073AA7"/>
    <w:rsid w:val="00081BD3"/>
    <w:rsid w:val="000A74FA"/>
    <w:rsid w:val="000B149D"/>
    <w:rsid w:val="000B1AC5"/>
    <w:rsid w:val="000B7247"/>
    <w:rsid w:val="0010559C"/>
    <w:rsid w:val="00107844"/>
    <w:rsid w:val="00114750"/>
    <w:rsid w:val="00120FBD"/>
    <w:rsid w:val="0012424D"/>
    <w:rsid w:val="0013159A"/>
    <w:rsid w:val="00135455"/>
    <w:rsid w:val="00143310"/>
    <w:rsid w:val="00144E9C"/>
    <w:rsid w:val="00161094"/>
    <w:rsid w:val="00163DF9"/>
    <w:rsid w:val="001666D6"/>
    <w:rsid w:val="00166B5D"/>
    <w:rsid w:val="001675EF"/>
    <w:rsid w:val="0017028A"/>
    <w:rsid w:val="00182B7D"/>
    <w:rsid w:val="00183413"/>
    <w:rsid w:val="00190D5A"/>
    <w:rsid w:val="00195D83"/>
    <w:rsid w:val="001979B5"/>
    <w:rsid w:val="001A5F7C"/>
    <w:rsid w:val="001A6E5B"/>
    <w:rsid w:val="001A7451"/>
    <w:rsid w:val="001C1FAD"/>
    <w:rsid w:val="001E188E"/>
    <w:rsid w:val="001E4F92"/>
    <w:rsid w:val="001E79BC"/>
    <w:rsid w:val="001F0518"/>
    <w:rsid w:val="001F4A73"/>
    <w:rsid w:val="00205580"/>
    <w:rsid w:val="002157BB"/>
    <w:rsid w:val="002262B5"/>
    <w:rsid w:val="0023138D"/>
    <w:rsid w:val="00240013"/>
    <w:rsid w:val="0024118E"/>
    <w:rsid w:val="00241BAC"/>
    <w:rsid w:val="002432A1"/>
    <w:rsid w:val="00260382"/>
    <w:rsid w:val="00266CB4"/>
    <w:rsid w:val="00267DD1"/>
    <w:rsid w:val="002771CE"/>
    <w:rsid w:val="002801AA"/>
    <w:rsid w:val="002912A4"/>
    <w:rsid w:val="00295B34"/>
    <w:rsid w:val="002A5D69"/>
    <w:rsid w:val="002B1AB1"/>
    <w:rsid w:val="002B1DBF"/>
    <w:rsid w:val="002C0D5D"/>
    <w:rsid w:val="002C692D"/>
    <w:rsid w:val="002C6ABE"/>
    <w:rsid w:val="002E388C"/>
    <w:rsid w:val="002F1BF3"/>
    <w:rsid w:val="002F4D43"/>
    <w:rsid w:val="003056C6"/>
    <w:rsid w:val="00311B14"/>
    <w:rsid w:val="00324306"/>
    <w:rsid w:val="003278D6"/>
    <w:rsid w:val="00327B7B"/>
    <w:rsid w:val="003303F0"/>
    <w:rsid w:val="0034059B"/>
    <w:rsid w:val="0035019C"/>
    <w:rsid w:val="00360248"/>
    <w:rsid w:val="003659BF"/>
    <w:rsid w:val="00366A46"/>
    <w:rsid w:val="00377A0D"/>
    <w:rsid w:val="003855EC"/>
    <w:rsid w:val="0038677D"/>
    <w:rsid w:val="003D3FF4"/>
    <w:rsid w:val="003D7161"/>
    <w:rsid w:val="003E12EE"/>
    <w:rsid w:val="003E3F9D"/>
    <w:rsid w:val="003E69E5"/>
    <w:rsid w:val="0040748E"/>
    <w:rsid w:val="00412206"/>
    <w:rsid w:val="00427E08"/>
    <w:rsid w:val="004349BA"/>
    <w:rsid w:val="0043575C"/>
    <w:rsid w:val="004365C7"/>
    <w:rsid w:val="004425B7"/>
    <w:rsid w:val="00444A85"/>
    <w:rsid w:val="00462CFA"/>
    <w:rsid w:val="00486DB1"/>
    <w:rsid w:val="00493E10"/>
    <w:rsid w:val="004949EC"/>
    <w:rsid w:val="004972E8"/>
    <w:rsid w:val="004A4606"/>
    <w:rsid w:val="004C0F9E"/>
    <w:rsid w:val="004C1243"/>
    <w:rsid w:val="004C5C26"/>
    <w:rsid w:val="004F7E99"/>
    <w:rsid w:val="005003F9"/>
    <w:rsid w:val="0050417B"/>
    <w:rsid w:val="005054F5"/>
    <w:rsid w:val="005133CE"/>
    <w:rsid w:val="00521BA3"/>
    <w:rsid w:val="00523E0D"/>
    <w:rsid w:val="00525588"/>
    <w:rsid w:val="0052710E"/>
    <w:rsid w:val="005442FC"/>
    <w:rsid w:val="00552ADE"/>
    <w:rsid w:val="0055631D"/>
    <w:rsid w:val="0056003D"/>
    <w:rsid w:val="00593935"/>
    <w:rsid w:val="005973FD"/>
    <w:rsid w:val="00597C68"/>
    <w:rsid w:val="005A382B"/>
    <w:rsid w:val="005A4047"/>
    <w:rsid w:val="005B7D9B"/>
    <w:rsid w:val="005C0D39"/>
    <w:rsid w:val="005C6232"/>
    <w:rsid w:val="005D6F7A"/>
    <w:rsid w:val="005E3353"/>
    <w:rsid w:val="005E5B88"/>
    <w:rsid w:val="005E7020"/>
    <w:rsid w:val="005E78EE"/>
    <w:rsid w:val="005F139F"/>
    <w:rsid w:val="005F1EBD"/>
    <w:rsid w:val="006063D0"/>
    <w:rsid w:val="00613C45"/>
    <w:rsid w:val="006200E9"/>
    <w:rsid w:val="00633D4E"/>
    <w:rsid w:val="00633FB1"/>
    <w:rsid w:val="0063526F"/>
    <w:rsid w:val="00637E86"/>
    <w:rsid w:val="006422DE"/>
    <w:rsid w:val="006439FA"/>
    <w:rsid w:val="006577C5"/>
    <w:rsid w:val="0067485D"/>
    <w:rsid w:val="00681C82"/>
    <w:rsid w:val="006A2065"/>
    <w:rsid w:val="006A3D88"/>
    <w:rsid w:val="006A4A7A"/>
    <w:rsid w:val="006B0848"/>
    <w:rsid w:val="006B733D"/>
    <w:rsid w:val="006C34AE"/>
    <w:rsid w:val="006C67AF"/>
    <w:rsid w:val="006D3DC5"/>
    <w:rsid w:val="006F143B"/>
    <w:rsid w:val="007039EC"/>
    <w:rsid w:val="0071572D"/>
    <w:rsid w:val="007157BA"/>
    <w:rsid w:val="007169F9"/>
    <w:rsid w:val="007174A6"/>
    <w:rsid w:val="007224B3"/>
    <w:rsid w:val="0072293A"/>
    <w:rsid w:val="00731303"/>
    <w:rsid w:val="007402E0"/>
    <w:rsid w:val="0074489D"/>
    <w:rsid w:val="00746549"/>
    <w:rsid w:val="007514AD"/>
    <w:rsid w:val="0075524D"/>
    <w:rsid w:val="007560B0"/>
    <w:rsid w:val="007627D7"/>
    <w:rsid w:val="00776C4F"/>
    <w:rsid w:val="00780659"/>
    <w:rsid w:val="007838E4"/>
    <w:rsid w:val="007846DC"/>
    <w:rsid w:val="007A19D8"/>
    <w:rsid w:val="007D154C"/>
    <w:rsid w:val="007E36E4"/>
    <w:rsid w:val="007F0ACE"/>
    <w:rsid w:val="00800F0E"/>
    <w:rsid w:val="00804024"/>
    <w:rsid w:val="00807721"/>
    <w:rsid w:val="0081753E"/>
    <w:rsid w:val="0085010E"/>
    <w:rsid w:val="0085454F"/>
    <w:rsid w:val="00865BF3"/>
    <w:rsid w:val="0087354F"/>
    <w:rsid w:val="00873EF8"/>
    <w:rsid w:val="00896985"/>
    <w:rsid w:val="008B00A1"/>
    <w:rsid w:val="008C53D0"/>
    <w:rsid w:val="008D527A"/>
    <w:rsid w:val="008D56DA"/>
    <w:rsid w:val="008D5771"/>
    <w:rsid w:val="008F472E"/>
    <w:rsid w:val="00902556"/>
    <w:rsid w:val="0090338C"/>
    <w:rsid w:val="0090742C"/>
    <w:rsid w:val="0091048E"/>
    <w:rsid w:val="00924ABC"/>
    <w:rsid w:val="00940E8F"/>
    <w:rsid w:val="0095309C"/>
    <w:rsid w:val="009652F2"/>
    <w:rsid w:val="009719ED"/>
    <w:rsid w:val="00986C37"/>
    <w:rsid w:val="00997528"/>
    <w:rsid w:val="0099796A"/>
    <w:rsid w:val="009C1346"/>
    <w:rsid w:val="009D05C8"/>
    <w:rsid w:val="009E3C0B"/>
    <w:rsid w:val="00A13244"/>
    <w:rsid w:val="00A239AA"/>
    <w:rsid w:val="00A439E8"/>
    <w:rsid w:val="00A45753"/>
    <w:rsid w:val="00A53423"/>
    <w:rsid w:val="00A62659"/>
    <w:rsid w:val="00A65F20"/>
    <w:rsid w:val="00A76293"/>
    <w:rsid w:val="00A77DA2"/>
    <w:rsid w:val="00A85D9D"/>
    <w:rsid w:val="00A92C4C"/>
    <w:rsid w:val="00AA602D"/>
    <w:rsid w:val="00AA6945"/>
    <w:rsid w:val="00AB572D"/>
    <w:rsid w:val="00AB70E8"/>
    <w:rsid w:val="00AC5637"/>
    <w:rsid w:val="00AE2923"/>
    <w:rsid w:val="00AE7F9D"/>
    <w:rsid w:val="00AF1794"/>
    <w:rsid w:val="00B028F7"/>
    <w:rsid w:val="00B14549"/>
    <w:rsid w:val="00B22863"/>
    <w:rsid w:val="00B41502"/>
    <w:rsid w:val="00B51024"/>
    <w:rsid w:val="00B512B5"/>
    <w:rsid w:val="00B60CD8"/>
    <w:rsid w:val="00B60F9C"/>
    <w:rsid w:val="00B6769E"/>
    <w:rsid w:val="00B73F22"/>
    <w:rsid w:val="00B76F9A"/>
    <w:rsid w:val="00B810B2"/>
    <w:rsid w:val="00BA0014"/>
    <w:rsid w:val="00BA26F7"/>
    <w:rsid w:val="00BA79F0"/>
    <w:rsid w:val="00BB5068"/>
    <w:rsid w:val="00BB7AE8"/>
    <w:rsid w:val="00BD0481"/>
    <w:rsid w:val="00BD4447"/>
    <w:rsid w:val="00BE2623"/>
    <w:rsid w:val="00BE3923"/>
    <w:rsid w:val="00BE4BF0"/>
    <w:rsid w:val="00BE5EE5"/>
    <w:rsid w:val="00BE68EE"/>
    <w:rsid w:val="00BE7F63"/>
    <w:rsid w:val="00BF45FB"/>
    <w:rsid w:val="00BF491D"/>
    <w:rsid w:val="00C123B1"/>
    <w:rsid w:val="00C21071"/>
    <w:rsid w:val="00C2398C"/>
    <w:rsid w:val="00C25569"/>
    <w:rsid w:val="00C27366"/>
    <w:rsid w:val="00C540F1"/>
    <w:rsid w:val="00C63AA8"/>
    <w:rsid w:val="00C7783C"/>
    <w:rsid w:val="00C81210"/>
    <w:rsid w:val="00CA6B58"/>
    <w:rsid w:val="00CB1AE6"/>
    <w:rsid w:val="00CB229C"/>
    <w:rsid w:val="00CB3ED4"/>
    <w:rsid w:val="00CB3F86"/>
    <w:rsid w:val="00CD34F0"/>
    <w:rsid w:val="00CE0954"/>
    <w:rsid w:val="00CF11F7"/>
    <w:rsid w:val="00D078C1"/>
    <w:rsid w:val="00D1323F"/>
    <w:rsid w:val="00D202BA"/>
    <w:rsid w:val="00D251AC"/>
    <w:rsid w:val="00D43766"/>
    <w:rsid w:val="00D47CCF"/>
    <w:rsid w:val="00D511C1"/>
    <w:rsid w:val="00D6457B"/>
    <w:rsid w:val="00D66DEC"/>
    <w:rsid w:val="00D71A41"/>
    <w:rsid w:val="00D768A4"/>
    <w:rsid w:val="00D92F52"/>
    <w:rsid w:val="00DA753F"/>
    <w:rsid w:val="00DC182C"/>
    <w:rsid w:val="00DC5754"/>
    <w:rsid w:val="00DD34A3"/>
    <w:rsid w:val="00DD6056"/>
    <w:rsid w:val="00DE7C6A"/>
    <w:rsid w:val="00DF2857"/>
    <w:rsid w:val="00DF2983"/>
    <w:rsid w:val="00DF4E18"/>
    <w:rsid w:val="00DF782B"/>
    <w:rsid w:val="00E03AEF"/>
    <w:rsid w:val="00E102DE"/>
    <w:rsid w:val="00E24825"/>
    <w:rsid w:val="00E42093"/>
    <w:rsid w:val="00E522AD"/>
    <w:rsid w:val="00E64103"/>
    <w:rsid w:val="00E66739"/>
    <w:rsid w:val="00E76CD1"/>
    <w:rsid w:val="00EE4AD8"/>
    <w:rsid w:val="00EE654D"/>
    <w:rsid w:val="00F139AC"/>
    <w:rsid w:val="00F21EAC"/>
    <w:rsid w:val="00F3243D"/>
    <w:rsid w:val="00F440F5"/>
    <w:rsid w:val="00F46D0D"/>
    <w:rsid w:val="00F82339"/>
    <w:rsid w:val="00F92B59"/>
    <w:rsid w:val="00F948BC"/>
    <w:rsid w:val="00F960CF"/>
    <w:rsid w:val="00FA10A3"/>
    <w:rsid w:val="00FA1226"/>
    <w:rsid w:val="00FD09D8"/>
    <w:rsid w:val="00FD3C0E"/>
    <w:rsid w:val="00FF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91B12"/>
  <w15:docId w15:val="{BB3045C5-1C0E-4F0C-ACB8-F03890B2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439FA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1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character" w:customStyle="1" w:styleId="NagwekZnak1">
    <w:name w:val="Nagłówek Znak1"/>
    <w:link w:val="Nagwek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customStyle="1" w:styleId="TEKSTKOMUNIKATU">
    <w:name w:val="TEKST KOMUNIKATU"/>
    <w:basedOn w:val="Tekstpodstawowy"/>
    <w:link w:val="TEKSTKOMUNIKATUZnak"/>
    <w:rsid w:val="006439FA"/>
    <w:pPr>
      <w:spacing w:after="240" w:line="360" w:lineRule="auto"/>
      <w:jc w:val="both"/>
    </w:pPr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customStyle="1" w:styleId="TEKSTKOMUNIKATUZnak">
    <w:name w:val="TEKST KOMUNIKATU Znak"/>
    <w:link w:val="TEKSTKOMUNIKATU"/>
    <w:rsid w:val="006439FA"/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styleId="Hipercze">
    <w:name w:val="Hyperlink"/>
    <w:rsid w:val="006439FA"/>
    <w:rPr>
      <w:color w:val="0000FF"/>
      <w:u w:val="single"/>
    </w:rPr>
  </w:style>
  <w:style w:type="character" w:styleId="Pogrubienie">
    <w:name w:val="Strong"/>
    <w:uiPriority w:val="22"/>
    <w:qFormat/>
    <w:rsid w:val="006439FA"/>
    <w:rPr>
      <w:b/>
      <w:bCs/>
    </w:rPr>
  </w:style>
  <w:style w:type="character" w:customStyle="1" w:styleId="u-linkcomplex-target">
    <w:name w:val="u-linkcomplex-target"/>
    <w:basedOn w:val="Domylnaczcionkaakapitu"/>
    <w:rsid w:val="006439F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439F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783C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83C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1A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71A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71A41"/>
    <w:rPr>
      <w:rFonts w:ascii="Trebuchet MS" w:eastAsia="Times New Roman" w:hAnsi="Trebuchet MS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1A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1A41"/>
    <w:rPr>
      <w:rFonts w:ascii="Trebuchet MS" w:eastAsia="Times New Roman" w:hAnsi="Trebuchet MS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47CCF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078C1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327B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9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31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9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109092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67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8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4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210687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gate.ec.europa.eu/rasff-window/portal/?event=searchForm&amp;cleanSearch=1" TargetMode="External"/><Relationship Id="rId13" Type="http://schemas.openxmlformats.org/officeDocument/2006/relationships/hyperlink" Target="https://www.uokik.gov.pl/download.php?plik=25307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16/09/relationships/commentsIds" Target="commentsIds.xml"/><Relationship Id="rId7" Type="http://schemas.openxmlformats.org/officeDocument/2006/relationships/hyperlink" Target="https://ec.europa.eu/consumers/consumers_safety/safety_products/rapex/alerts/repository/content/pages/rapex/index_en.htm" TargetMode="Externa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uokik.gov.pl/wazne_adresy.php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uokik.gov.pl/pomoc.php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mailto:porady@dlakonsumentow.p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twitter.com/UOKiKgovPL" TargetMode="External"/><Relationship Id="rId1" Type="http://schemas.openxmlformats.org/officeDocument/2006/relationships/hyperlink" Target="mailto:biuroprasowe@uokik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5</Pages>
  <Words>661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Piskorek</dc:creator>
  <cp:keywords/>
  <dc:description/>
  <cp:lastModifiedBy>Biuro Prasowe</cp:lastModifiedBy>
  <cp:revision>8</cp:revision>
  <cp:lastPrinted>2019-03-06T14:11:00Z</cp:lastPrinted>
  <dcterms:created xsi:type="dcterms:W3CDTF">2021-03-01T15:21:00Z</dcterms:created>
  <dcterms:modified xsi:type="dcterms:W3CDTF">2021-03-02T08:45:00Z</dcterms:modified>
</cp:coreProperties>
</file>