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48ACF" w14:textId="77777777" w:rsidR="00D47CCF" w:rsidRPr="0024118E" w:rsidRDefault="00FF1EBC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DZIAŁALNOŚĆ UOKIK W 2019 ROKU</w:t>
      </w:r>
    </w:p>
    <w:p w14:paraId="38FE0097" w14:textId="48C0E84E" w:rsidR="00C2398C" w:rsidRPr="00A51BCF" w:rsidRDefault="00FF1EBC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A51BCF">
        <w:rPr>
          <w:rFonts w:cs="Tahoma"/>
          <w:b/>
          <w:bCs/>
          <w:color w:val="000000" w:themeColor="text1"/>
          <w:sz w:val="22"/>
          <w:lang w:eastAsia="en-GB"/>
        </w:rPr>
        <w:t xml:space="preserve">Ponad 950 decyzji z zakresu ochrony konkurencji </w:t>
      </w:r>
      <w:r w:rsidR="00A51BCF">
        <w:rPr>
          <w:rFonts w:cs="Tahoma"/>
          <w:b/>
          <w:bCs/>
          <w:color w:val="000000" w:themeColor="text1"/>
          <w:sz w:val="22"/>
          <w:lang w:eastAsia="en-GB"/>
        </w:rPr>
        <w:t>i</w:t>
      </w:r>
      <w:r w:rsidR="00A51BCF" w:rsidRPr="00A51BCF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Pr="00A51BCF">
        <w:rPr>
          <w:rFonts w:cs="Tahoma"/>
          <w:b/>
          <w:bCs/>
          <w:color w:val="000000" w:themeColor="text1"/>
          <w:sz w:val="22"/>
          <w:lang w:eastAsia="en-GB"/>
        </w:rPr>
        <w:t xml:space="preserve">konsumentów, prawie 425 mln </w:t>
      </w:r>
      <w:r w:rsidR="004252AC" w:rsidRPr="00A51BCF">
        <w:rPr>
          <w:rFonts w:cs="Tahoma"/>
          <w:b/>
          <w:bCs/>
          <w:color w:val="000000" w:themeColor="text1"/>
          <w:sz w:val="22"/>
          <w:lang w:eastAsia="en-GB"/>
        </w:rPr>
        <w:t xml:space="preserve">zł </w:t>
      </w:r>
      <w:r w:rsidRPr="00A51BCF">
        <w:rPr>
          <w:rFonts w:cs="Tahoma"/>
          <w:b/>
          <w:bCs/>
          <w:color w:val="000000" w:themeColor="text1"/>
          <w:sz w:val="22"/>
          <w:lang w:eastAsia="en-GB"/>
        </w:rPr>
        <w:t xml:space="preserve">nałożonych kar, </w:t>
      </w:r>
      <w:r w:rsidR="004252AC" w:rsidRPr="00A51BCF">
        <w:rPr>
          <w:rFonts w:cs="Tahoma"/>
          <w:b/>
          <w:bCs/>
          <w:color w:val="000000" w:themeColor="text1"/>
          <w:sz w:val="22"/>
          <w:lang w:eastAsia="en-GB"/>
        </w:rPr>
        <w:t xml:space="preserve">więcej niż </w:t>
      </w:r>
      <w:r w:rsidRPr="00A51BCF">
        <w:rPr>
          <w:rFonts w:cs="Tahoma"/>
          <w:b/>
          <w:bCs/>
          <w:color w:val="000000" w:themeColor="text1"/>
          <w:sz w:val="22"/>
          <w:lang w:eastAsia="en-GB"/>
        </w:rPr>
        <w:t>800 wydanych istotnych pogl</w:t>
      </w:r>
      <w:r w:rsidR="00F423F8" w:rsidRPr="00A51BCF">
        <w:rPr>
          <w:rFonts w:cs="Tahoma"/>
          <w:b/>
          <w:bCs/>
          <w:color w:val="000000" w:themeColor="text1"/>
          <w:sz w:val="22"/>
          <w:lang w:eastAsia="en-GB"/>
        </w:rPr>
        <w:t>ą</w:t>
      </w:r>
      <w:r w:rsidRPr="00A51BCF">
        <w:rPr>
          <w:rFonts w:cs="Tahoma"/>
          <w:b/>
          <w:bCs/>
          <w:color w:val="000000" w:themeColor="text1"/>
          <w:sz w:val="22"/>
          <w:lang w:eastAsia="en-GB"/>
        </w:rPr>
        <w:t>dów w sprawach sądowych.</w:t>
      </w:r>
    </w:p>
    <w:p w14:paraId="03696F16" w14:textId="77777777" w:rsidR="00986C37" w:rsidRPr="00A51BCF" w:rsidRDefault="00FF1EBC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A51BCF">
        <w:rPr>
          <w:rFonts w:cs="Tahoma"/>
          <w:b/>
          <w:bCs/>
          <w:color w:val="000000" w:themeColor="text1"/>
          <w:sz w:val="22"/>
          <w:lang w:eastAsia="en-GB"/>
        </w:rPr>
        <w:t>To tylko niektóre przykłady działań UOKiK w 2019 roku.</w:t>
      </w:r>
    </w:p>
    <w:p w14:paraId="7ED74461" w14:textId="45179423" w:rsidR="00986C37" w:rsidRPr="00A51BCF" w:rsidRDefault="00FF1EBC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FF1EBC">
        <w:rPr>
          <w:rFonts w:cs="Tahoma"/>
          <w:b/>
          <w:bCs/>
          <w:color w:val="000000" w:themeColor="text1"/>
          <w:sz w:val="22"/>
          <w:lang w:eastAsia="en-GB"/>
        </w:rPr>
        <w:t xml:space="preserve">Więcej na </w:t>
      </w:r>
      <w:r w:rsidR="00A51BCF">
        <w:rPr>
          <w:rFonts w:cs="Tahoma"/>
          <w:b/>
          <w:bCs/>
          <w:color w:val="000000" w:themeColor="text1"/>
          <w:sz w:val="22"/>
          <w:lang w:eastAsia="en-GB"/>
        </w:rPr>
        <w:t>ich</w:t>
      </w:r>
      <w:r w:rsidR="00A51BCF" w:rsidRPr="00FF1EBC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Pr="00FF1EBC">
        <w:rPr>
          <w:rFonts w:cs="Tahoma"/>
          <w:b/>
          <w:bCs/>
          <w:color w:val="000000" w:themeColor="text1"/>
          <w:sz w:val="22"/>
          <w:lang w:eastAsia="en-GB"/>
        </w:rPr>
        <w:t>temat można przeczytać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w </w:t>
      </w:r>
      <w:hyperlink r:id="rId7" w:history="1">
        <w:r w:rsidRPr="00B31945">
          <w:rPr>
            <w:rStyle w:val="Hipercze"/>
            <w:rFonts w:cs="Tahoma"/>
            <w:b/>
            <w:bCs/>
            <w:sz w:val="22"/>
            <w:lang w:eastAsia="en-GB"/>
          </w:rPr>
          <w:t>sprawozdaniu z działalności Urzędu.</w:t>
        </w:r>
      </w:hyperlink>
      <w:bookmarkStart w:id="0" w:name="_GoBack"/>
      <w:bookmarkEnd w:id="0"/>
    </w:p>
    <w:p w14:paraId="23672F95" w14:textId="052C327E" w:rsidR="00B41502" w:rsidRPr="0010559C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CE25BD">
        <w:rPr>
          <w:b/>
          <w:sz w:val="22"/>
        </w:rPr>
        <w:t>1</w:t>
      </w:r>
      <w:r w:rsidR="00EB4CF6">
        <w:rPr>
          <w:b/>
          <w:sz w:val="22"/>
        </w:rPr>
        <w:t>4</w:t>
      </w:r>
      <w:r w:rsidR="00986C37">
        <w:rPr>
          <w:b/>
          <w:sz w:val="22"/>
        </w:rPr>
        <w:t xml:space="preserve"> </w:t>
      </w:r>
      <w:r w:rsidR="00902D8B">
        <w:rPr>
          <w:b/>
          <w:sz w:val="22"/>
        </w:rPr>
        <w:t>stycznia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902D8B">
        <w:rPr>
          <w:b/>
          <w:sz w:val="22"/>
        </w:rPr>
        <w:t>21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A14123">
        <w:rPr>
          <w:sz w:val="22"/>
        </w:rPr>
        <w:t xml:space="preserve">– </w:t>
      </w:r>
      <w:r w:rsidR="00A14123" w:rsidRPr="00287AAE">
        <w:rPr>
          <w:i/>
          <w:sz w:val="22"/>
        </w:rPr>
        <w:t>W 2019 roku wydaliśmy ponad 950 decyzji</w:t>
      </w:r>
      <w:r w:rsidR="00287AAE">
        <w:rPr>
          <w:i/>
          <w:sz w:val="22"/>
        </w:rPr>
        <w:t xml:space="preserve">, nałożyliśmy pierwszą karę za nieuczciwe wykorzystywanie przewagi kontraktowej oraz </w:t>
      </w:r>
      <w:r w:rsidR="00A51BCF">
        <w:rPr>
          <w:i/>
          <w:sz w:val="22"/>
        </w:rPr>
        <w:t xml:space="preserve">najwyższe </w:t>
      </w:r>
      <w:r w:rsidR="00287AAE">
        <w:rPr>
          <w:i/>
          <w:sz w:val="22"/>
        </w:rPr>
        <w:t xml:space="preserve">w historii </w:t>
      </w:r>
      <w:r w:rsidR="00A51BCF">
        <w:rPr>
          <w:i/>
          <w:sz w:val="22"/>
        </w:rPr>
        <w:t xml:space="preserve">kary </w:t>
      </w:r>
      <w:r w:rsidR="00287AAE">
        <w:rPr>
          <w:i/>
          <w:sz w:val="22"/>
        </w:rPr>
        <w:t>za</w:t>
      </w:r>
      <w:r w:rsidR="00A51BCF">
        <w:rPr>
          <w:i/>
          <w:sz w:val="22"/>
        </w:rPr>
        <w:t xml:space="preserve"> naruszenie zbiorowych interesów konsumentów oraz</w:t>
      </w:r>
      <w:r w:rsidR="00287AAE">
        <w:rPr>
          <w:i/>
          <w:sz w:val="22"/>
        </w:rPr>
        <w:t xml:space="preserve"> stosowanie klauzul niedozwol</w:t>
      </w:r>
      <w:r w:rsidR="00F423F8">
        <w:rPr>
          <w:i/>
          <w:sz w:val="22"/>
        </w:rPr>
        <w:t>o</w:t>
      </w:r>
      <w:r w:rsidR="00287AAE">
        <w:rPr>
          <w:i/>
          <w:sz w:val="22"/>
        </w:rPr>
        <w:t>nych.</w:t>
      </w:r>
      <w:r w:rsidR="007C297F">
        <w:rPr>
          <w:i/>
          <w:sz w:val="22"/>
        </w:rPr>
        <w:t xml:space="preserve"> </w:t>
      </w:r>
      <w:r w:rsidR="00346816">
        <w:rPr>
          <w:i/>
          <w:iCs/>
          <w:sz w:val="22"/>
        </w:rPr>
        <w:t xml:space="preserve">Jednak to nie liczby są najważniejsze w naszej </w:t>
      </w:r>
      <w:r w:rsidR="00A51BCF">
        <w:rPr>
          <w:i/>
          <w:iCs/>
          <w:sz w:val="22"/>
        </w:rPr>
        <w:t>działalności</w:t>
      </w:r>
      <w:r w:rsidR="00346816">
        <w:rPr>
          <w:i/>
          <w:iCs/>
          <w:sz w:val="22"/>
        </w:rPr>
        <w:t>, a</w:t>
      </w:r>
      <w:r w:rsidR="00812939">
        <w:rPr>
          <w:i/>
          <w:iCs/>
          <w:sz w:val="22"/>
        </w:rPr>
        <w:t>le</w:t>
      </w:r>
      <w:r w:rsidR="00346816">
        <w:rPr>
          <w:i/>
          <w:iCs/>
          <w:sz w:val="22"/>
        </w:rPr>
        <w:t xml:space="preserve"> pomoc konsumentom</w:t>
      </w:r>
      <w:r w:rsidR="004252AC">
        <w:rPr>
          <w:i/>
          <w:iCs/>
          <w:sz w:val="22"/>
        </w:rPr>
        <w:t>,</w:t>
      </w:r>
      <w:r w:rsidR="00F423F8">
        <w:rPr>
          <w:i/>
          <w:iCs/>
          <w:sz w:val="22"/>
        </w:rPr>
        <w:t xml:space="preserve"> </w:t>
      </w:r>
      <w:r w:rsidR="00346816">
        <w:rPr>
          <w:i/>
          <w:iCs/>
          <w:sz w:val="22"/>
        </w:rPr>
        <w:t xml:space="preserve">dbanie o </w:t>
      </w:r>
      <w:r w:rsidR="00E71F4A">
        <w:rPr>
          <w:i/>
          <w:iCs/>
          <w:sz w:val="22"/>
        </w:rPr>
        <w:t xml:space="preserve">równe szanse dla </w:t>
      </w:r>
      <w:r w:rsidR="004252AC">
        <w:rPr>
          <w:i/>
          <w:iCs/>
          <w:sz w:val="22"/>
        </w:rPr>
        <w:t xml:space="preserve">uczestników rynku oraz </w:t>
      </w:r>
      <w:r w:rsidR="00E71F4A">
        <w:rPr>
          <w:i/>
          <w:iCs/>
          <w:sz w:val="22"/>
        </w:rPr>
        <w:t>uczciwą</w:t>
      </w:r>
      <w:r w:rsidR="004252AC">
        <w:rPr>
          <w:i/>
          <w:iCs/>
          <w:sz w:val="22"/>
        </w:rPr>
        <w:t xml:space="preserve"> </w:t>
      </w:r>
      <w:r w:rsidR="00346816">
        <w:rPr>
          <w:i/>
          <w:iCs/>
          <w:sz w:val="22"/>
        </w:rPr>
        <w:t>konkurencję</w:t>
      </w:r>
      <w:r w:rsidR="004252AC">
        <w:rPr>
          <w:i/>
          <w:iCs/>
          <w:sz w:val="22"/>
        </w:rPr>
        <w:t>.</w:t>
      </w:r>
      <w:r w:rsidR="00F423F8">
        <w:rPr>
          <w:i/>
          <w:iCs/>
          <w:sz w:val="22"/>
        </w:rPr>
        <w:t xml:space="preserve"> </w:t>
      </w:r>
      <w:r w:rsidR="00A51BCF">
        <w:rPr>
          <w:i/>
          <w:iCs/>
          <w:sz w:val="22"/>
        </w:rPr>
        <w:t>Kompetencje Prezesa</w:t>
      </w:r>
      <w:r w:rsidR="00A51BCF" w:rsidRPr="00346816">
        <w:rPr>
          <w:i/>
          <w:iCs/>
          <w:sz w:val="22"/>
        </w:rPr>
        <w:t xml:space="preserve"> </w:t>
      </w:r>
      <w:r w:rsidR="00346816" w:rsidRPr="00346816">
        <w:rPr>
          <w:i/>
          <w:iCs/>
          <w:sz w:val="22"/>
        </w:rPr>
        <w:t xml:space="preserve">UOKiK są znacznie szersze niż wskazuje </w:t>
      </w:r>
      <w:r w:rsidR="004252AC">
        <w:rPr>
          <w:i/>
          <w:iCs/>
          <w:sz w:val="22"/>
        </w:rPr>
        <w:t>nasza</w:t>
      </w:r>
      <w:r w:rsidR="004252AC" w:rsidRPr="00346816">
        <w:rPr>
          <w:i/>
          <w:iCs/>
          <w:sz w:val="22"/>
        </w:rPr>
        <w:t xml:space="preserve"> </w:t>
      </w:r>
      <w:r w:rsidR="00346816" w:rsidRPr="00346816">
        <w:rPr>
          <w:i/>
          <w:iCs/>
          <w:sz w:val="22"/>
        </w:rPr>
        <w:t>nazwa</w:t>
      </w:r>
      <w:r w:rsidR="00346816">
        <w:rPr>
          <w:i/>
          <w:iCs/>
          <w:sz w:val="22"/>
        </w:rPr>
        <w:t xml:space="preserve"> -</w:t>
      </w:r>
      <w:r w:rsidR="00346816" w:rsidRPr="00346816">
        <w:rPr>
          <w:i/>
          <w:iCs/>
          <w:sz w:val="22"/>
        </w:rPr>
        <w:t xml:space="preserve"> </w:t>
      </w:r>
      <w:r w:rsidR="00346816">
        <w:rPr>
          <w:i/>
          <w:iCs/>
          <w:sz w:val="22"/>
        </w:rPr>
        <w:t>z</w:t>
      </w:r>
      <w:r w:rsidR="00346816" w:rsidRPr="00346816">
        <w:rPr>
          <w:i/>
          <w:iCs/>
          <w:sz w:val="22"/>
        </w:rPr>
        <w:t xml:space="preserve">ajmujemy się </w:t>
      </w:r>
      <w:r w:rsidR="004252AC">
        <w:rPr>
          <w:i/>
          <w:iCs/>
          <w:sz w:val="22"/>
        </w:rPr>
        <w:t>także</w:t>
      </w:r>
      <w:r w:rsidR="004252AC" w:rsidRPr="00346816">
        <w:rPr>
          <w:i/>
          <w:iCs/>
          <w:sz w:val="22"/>
        </w:rPr>
        <w:t xml:space="preserve"> </w:t>
      </w:r>
      <w:r w:rsidR="00A51BCF">
        <w:rPr>
          <w:i/>
          <w:iCs/>
          <w:sz w:val="22"/>
        </w:rPr>
        <w:t xml:space="preserve">monitorowaniem systemu </w:t>
      </w:r>
      <w:r w:rsidR="00A51BCF" w:rsidRPr="00346816">
        <w:rPr>
          <w:i/>
          <w:iCs/>
          <w:sz w:val="22"/>
        </w:rPr>
        <w:t>nadzor</w:t>
      </w:r>
      <w:r w:rsidR="00A51BCF">
        <w:rPr>
          <w:i/>
          <w:iCs/>
          <w:sz w:val="22"/>
        </w:rPr>
        <w:t>u</w:t>
      </w:r>
      <w:r w:rsidR="00A51BCF" w:rsidRPr="00346816">
        <w:rPr>
          <w:i/>
          <w:iCs/>
          <w:sz w:val="22"/>
        </w:rPr>
        <w:t xml:space="preserve"> </w:t>
      </w:r>
      <w:r w:rsidR="00346816" w:rsidRPr="00346816">
        <w:rPr>
          <w:i/>
          <w:iCs/>
          <w:sz w:val="22"/>
        </w:rPr>
        <w:t>rynku</w:t>
      </w:r>
      <w:r w:rsidR="004252AC">
        <w:rPr>
          <w:i/>
          <w:iCs/>
          <w:sz w:val="22"/>
        </w:rPr>
        <w:t xml:space="preserve"> </w:t>
      </w:r>
      <w:r w:rsidR="00E71F4A">
        <w:rPr>
          <w:i/>
          <w:iCs/>
          <w:sz w:val="22"/>
        </w:rPr>
        <w:t>a</w:t>
      </w:r>
      <w:r w:rsidR="004252AC">
        <w:rPr>
          <w:i/>
          <w:iCs/>
          <w:sz w:val="22"/>
        </w:rPr>
        <w:t>by</w:t>
      </w:r>
      <w:r w:rsidR="00346816" w:rsidRPr="00346816">
        <w:rPr>
          <w:i/>
          <w:iCs/>
          <w:sz w:val="22"/>
        </w:rPr>
        <w:t xml:space="preserve"> polscy konsumenci kupowali bezpieczne produkty i tankowali paliwo dobrej jakości.</w:t>
      </w:r>
      <w:r w:rsidR="00346816">
        <w:rPr>
          <w:i/>
          <w:iCs/>
          <w:sz w:val="22"/>
        </w:rPr>
        <w:t xml:space="preserve"> Od</w:t>
      </w:r>
      <w:r w:rsidR="00A51BCF">
        <w:rPr>
          <w:i/>
          <w:iCs/>
          <w:sz w:val="22"/>
        </w:rPr>
        <w:t xml:space="preserve"> lipca</w:t>
      </w:r>
      <w:r w:rsidR="00346816">
        <w:rPr>
          <w:i/>
          <w:iCs/>
          <w:sz w:val="22"/>
        </w:rPr>
        <w:t xml:space="preserve"> 2019 roku Inspekcja Handlowa kontroluje również jakość paliw stałych</w:t>
      </w:r>
      <w:r w:rsidR="004252AC">
        <w:rPr>
          <w:i/>
          <w:iCs/>
          <w:sz w:val="22"/>
        </w:rPr>
        <w:t xml:space="preserve"> np. węgla</w:t>
      </w:r>
      <w:r w:rsidR="00346816">
        <w:rPr>
          <w:i/>
          <w:iCs/>
          <w:sz w:val="22"/>
        </w:rPr>
        <w:t xml:space="preserve"> – </w:t>
      </w:r>
      <w:r w:rsidR="00346816" w:rsidRPr="00346816">
        <w:rPr>
          <w:iCs/>
          <w:sz w:val="22"/>
        </w:rPr>
        <w:t>mówi Prezes UOKiK Tomasz Chróstny.</w:t>
      </w:r>
    </w:p>
    <w:p w14:paraId="489921CC" w14:textId="77777777" w:rsidR="00A13244" w:rsidRDefault="00915501" w:rsidP="002C692D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>OCHRONA KONKURENCJI</w:t>
      </w:r>
    </w:p>
    <w:p w14:paraId="35B27191" w14:textId="77777777" w:rsidR="00771995" w:rsidRPr="00D47CCF" w:rsidRDefault="00771995" w:rsidP="002C692D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 w:rsidRPr="00771995">
        <w:rPr>
          <w:rFonts w:cs="Tahoma"/>
          <w:b/>
          <w:bCs/>
          <w:sz w:val="22"/>
          <w:lang w:eastAsia="pl-PL"/>
        </w:rPr>
        <w:t>Praktyki ograniczające konkurencję</w:t>
      </w:r>
    </w:p>
    <w:p w14:paraId="19BB9514" w14:textId="6A516277" w:rsidR="00C84231" w:rsidRDefault="00915501" w:rsidP="00986C37">
      <w:pPr>
        <w:spacing w:after="100" w:afterAutospacing="1" w:line="372" w:lineRule="auto"/>
        <w:jc w:val="both"/>
        <w:rPr>
          <w:sz w:val="22"/>
        </w:rPr>
      </w:pPr>
      <w:r w:rsidRPr="00915501">
        <w:rPr>
          <w:sz w:val="22"/>
        </w:rPr>
        <w:t>W 201</w:t>
      </w:r>
      <w:r>
        <w:rPr>
          <w:sz w:val="22"/>
        </w:rPr>
        <w:t>9</w:t>
      </w:r>
      <w:r w:rsidRPr="00915501">
        <w:rPr>
          <w:sz w:val="22"/>
        </w:rPr>
        <w:t xml:space="preserve"> roku </w:t>
      </w:r>
      <w:r w:rsidR="00C84231">
        <w:rPr>
          <w:sz w:val="22"/>
        </w:rPr>
        <w:t xml:space="preserve">Prezes </w:t>
      </w:r>
      <w:r w:rsidRPr="00915501">
        <w:rPr>
          <w:sz w:val="22"/>
        </w:rPr>
        <w:t xml:space="preserve">UOKiK </w:t>
      </w:r>
      <w:r w:rsidRPr="00A51BCF">
        <w:rPr>
          <w:b/>
          <w:sz w:val="22"/>
        </w:rPr>
        <w:t xml:space="preserve">wszczął </w:t>
      </w:r>
      <w:r w:rsidR="00C84231" w:rsidRPr="00A51BCF">
        <w:rPr>
          <w:b/>
          <w:sz w:val="22"/>
        </w:rPr>
        <w:t>56</w:t>
      </w:r>
      <w:r w:rsidRPr="00A51BCF">
        <w:rPr>
          <w:b/>
          <w:sz w:val="22"/>
        </w:rPr>
        <w:t xml:space="preserve"> postępowań wyjaśniających i 1</w:t>
      </w:r>
      <w:r w:rsidR="00C84231" w:rsidRPr="00A51BCF">
        <w:rPr>
          <w:b/>
          <w:sz w:val="22"/>
        </w:rPr>
        <w:t>4</w:t>
      </w:r>
      <w:r w:rsidRPr="00A51BCF">
        <w:rPr>
          <w:b/>
          <w:sz w:val="22"/>
        </w:rPr>
        <w:t xml:space="preserve"> postępowań </w:t>
      </w:r>
      <w:r w:rsidR="00C84231" w:rsidRPr="00A51BCF">
        <w:rPr>
          <w:b/>
          <w:sz w:val="22"/>
        </w:rPr>
        <w:t>antymonopolowych</w:t>
      </w:r>
      <w:r w:rsidRPr="00915501">
        <w:rPr>
          <w:sz w:val="22"/>
        </w:rPr>
        <w:t xml:space="preserve">, w tym </w:t>
      </w:r>
      <w:r w:rsidR="00A51BCF" w:rsidRPr="00915501">
        <w:rPr>
          <w:sz w:val="22"/>
        </w:rPr>
        <w:t>1</w:t>
      </w:r>
      <w:r w:rsidR="00A51BCF">
        <w:rPr>
          <w:sz w:val="22"/>
        </w:rPr>
        <w:t>3</w:t>
      </w:r>
      <w:r w:rsidR="00A51BCF" w:rsidRPr="00915501">
        <w:rPr>
          <w:sz w:val="22"/>
        </w:rPr>
        <w:t xml:space="preserve"> </w:t>
      </w:r>
      <w:r w:rsidRPr="00915501">
        <w:rPr>
          <w:sz w:val="22"/>
        </w:rPr>
        <w:t xml:space="preserve">postępowań </w:t>
      </w:r>
      <w:r w:rsidR="00C84231">
        <w:rPr>
          <w:sz w:val="22"/>
        </w:rPr>
        <w:t>dotyczących niedozwolonych porozumień</w:t>
      </w:r>
      <w:r w:rsidRPr="00915501">
        <w:rPr>
          <w:sz w:val="22"/>
        </w:rPr>
        <w:t xml:space="preserve"> i </w:t>
      </w:r>
      <w:r w:rsidR="00C84231">
        <w:rPr>
          <w:sz w:val="22"/>
        </w:rPr>
        <w:t>1</w:t>
      </w:r>
      <w:r w:rsidRPr="00915501">
        <w:rPr>
          <w:sz w:val="22"/>
        </w:rPr>
        <w:t xml:space="preserve"> </w:t>
      </w:r>
      <w:r w:rsidR="00C84231">
        <w:rPr>
          <w:sz w:val="22"/>
        </w:rPr>
        <w:t>w sprawie nadużywania pozycji dominującej</w:t>
      </w:r>
      <w:r w:rsidRPr="00915501">
        <w:rPr>
          <w:sz w:val="22"/>
        </w:rPr>
        <w:t xml:space="preserve">. Ponadto urząd wystosował </w:t>
      </w:r>
      <w:r w:rsidR="00C84231">
        <w:rPr>
          <w:sz w:val="22"/>
        </w:rPr>
        <w:t>82 wystąpienia miękkie do przedsiębiorców.</w:t>
      </w:r>
      <w:r w:rsidRPr="00915501">
        <w:rPr>
          <w:sz w:val="22"/>
        </w:rPr>
        <w:t xml:space="preserve"> </w:t>
      </w:r>
      <w:r w:rsidR="00C84231" w:rsidRPr="00C84231">
        <w:rPr>
          <w:sz w:val="22"/>
        </w:rPr>
        <w:t>Polegają one na żądaniu zmiany bądź eliminacji nieuczciwych działań.</w:t>
      </w:r>
      <w:r w:rsidR="00986C37" w:rsidRPr="00986C37">
        <w:rPr>
          <w:sz w:val="22"/>
        </w:rPr>
        <w:t xml:space="preserve"> </w:t>
      </w:r>
    </w:p>
    <w:p w14:paraId="4C52EC18" w14:textId="2BF39FD7" w:rsidR="00C84231" w:rsidRDefault="00C84231" w:rsidP="00986C37">
      <w:pPr>
        <w:spacing w:after="100" w:afterAutospacing="1" w:line="372" w:lineRule="auto"/>
        <w:jc w:val="both"/>
        <w:rPr>
          <w:bCs/>
          <w:sz w:val="22"/>
        </w:rPr>
      </w:pPr>
      <w:r w:rsidRPr="00C84231">
        <w:rPr>
          <w:b/>
          <w:bCs/>
          <w:sz w:val="22"/>
        </w:rPr>
        <w:t xml:space="preserve">UOKiK wydał w </w:t>
      </w:r>
      <w:r>
        <w:rPr>
          <w:b/>
          <w:bCs/>
          <w:sz w:val="22"/>
        </w:rPr>
        <w:t>2019</w:t>
      </w:r>
      <w:r w:rsidRPr="00C84231">
        <w:rPr>
          <w:b/>
          <w:bCs/>
          <w:sz w:val="22"/>
        </w:rPr>
        <w:t xml:space="preserve"> roku 1</w:t>
      </w:r>
      <w:r>
        <w:rPr>
          <w:b/>
          <w:bCs/>
          <w:sz w:val="22"/>
        </w:rPr>
        <w:t>2</w:t>
      </w:r>
      <w:r w:rsidRPr="00C84231">
        <w:rPr>
          <w:b/>
          <w:bCs/>
          <w:sz w:val="22"/>
        </w:rPr>
        <w:t xml:space="preserve"> decyzji z zakresu praktyk ograniczających konkurencję</w:t>
      </w:r>
      <w:r w:rsidRPr="00C84231">
        <w:rPr>
          <w:sz w:val="22"/>
        </w:rPr>
        <w:t xml:space="preserve">, z czego </w:t>
      </w:r>
      <w:r w:rsidR="00A51BCF" w:rsidRPr="00C84231">
        <w:rPr>
          <w:sz w:val="22"/>
        </w:rPr>
        <w:t>1</w:t>
      </w:r>
      <w:r w:rsidR="00A51BCF">
        <w:rPr>
          <w:sz w:val="22"/>
        </w:rPr>
        <w:t>1</w:t>
      </w:r>
      <w:r w:rsidR="00A51BCF" w:rsidRPr="00C84231">
        <w:rPr>
          <w:sz w:val="22"/>
        </w:rPr>
        <w:t xml:space="preserve"> </w:t>
      </w:r>
      <w:r w:rsidRPr="00C84231">
        <w:rPr>
          <w:sz w:val="22"/>
        </w:rPr>
        <w:t>dotyczyło niedozwolonych porozumień</w:t>
      </w:r>
      <w:r w:rsidR="00A51BCF">
        <w:rPr>
          <w:sz w:val="22"/>
        </w:rPr>
        <w:t xml:space="preserve"> horyzontalnych</w:t>
      </w:r>
      <w:r w:rsidRPr="00C84231">
        <w:rPr>
          <w:sz w:val="22"/>
        </w:rPr>
        <w:t xml:space="preserve">, a </w:t>
      </w:r>
      <w:r w:rsidR="00A51BCF">
        <w:rPr>
          <w:sz w:val="22"/>
        </w:rPr>
        <w:t>jedna porozumienia wertykalnego</w:t>
      </w:r>
      <w:r w:rsidRPr="00C84231">
        <w:rPr>
          <w:b/>
          <w:bCs/>
          <w:sz w:val="22"/>
        </w:rPr>
        <w:t>.  Łączne kary finansowe za praktyki ograniczające konkurencję wyniosły </w:t>
      </w:r>
      <w:r w:rsidR="00771995">
        <w:rPr>
          <w:b/>
          <w:bCs/>
          <w:sz w:val="22"/>
        </w:rPr>
        <w:t>5</w:t>
      </w:r>
      <w:r w:rsidRPr="00C84231">
        <w:rPr>
          <w:b/>
          <w:bCs/>
          <w:sz w:val="22"/>
        </w:rPr>
        <w:t>,</w:t>
      </w:r>
      <w:r w:rsidR="00771995">
        <w:rPr>
          <w:b/>
          <w:bCs/>
          <w:sz w:val="22"/>
        </w:rPr>
        <w:t>2</w:t>
      </w:r>
      <w:r w:rsidRPr="00C84231">
        <w:rPr>
          <w:b/>
          <w:bCs/>
          <w:sz w:val="22"/>
        </w:rPr>
        <w:t xml:space="preserve"> mln zł.</w:t>
      </w:r>
      <w:r w:rsidR="00D525D6">
        <w:rPr>
          <w:b/>
          <w:bCs/>
          <w:sz w:val="22"/>
        </w:rPr>
        <w:t xml:space="preserve"> </w:t>
      </w:r>
      <w:r w:rsidR="00D525D6" w:rsidRPr="00D525D6">
        <w:rPr>
          <w:bCs/>
          <w:sz w:val="22"/>
        </w:rPr>
        <w:t xml:space="preserve">W </w:t>
      </w:r>
      <w:r w:rsidR="00D525D6">
        <w:rPr>
          <w:bCs/>
          <w:sz w:val="22"/>
        </w:rPr>
        <w:t>dwóc</w:t>
      </w:r>
      <w:r w:rsidR="00D525D6" w:rsidRPr="00D525D6">
        <w:rPr>
          <w:bCs/>
          <w:sz w:val="22"/>
        </w:rPr>
        <w:t>h przypadkach sankcje obniżono dzięki </w:t>
      </w:r>
      <w:hyperlink r:id="rId8" w:history="1">
        <w:r w:rsidR="00D525D6" w:rsidRPr="00D525D6">
          <w:rPr>
            <w:rStyle w:val="Hipercze"/>
            <w:bCs/>
            <w:sz w:val="22"/>
          </w:rPr>
          <w:t>programowi łagodzenia kar </w:t>
        </w:r>
        <w:proofErr w:type="spellStart"/>
        <w:r w:rsidR="00D525D6" w:rsidRPr="00D525D6">
          <w:rPr>
            <w:rStyle w:val="Hipercze"/>
            <w:bCs/>
            <w:i/>
            <w:iCs/>
            <w:sz w:val="22"/>
          </w:rPr>
          <w:t>leniency</w:t>
        </w:r>
        <w:proofErr w:type="spellEnd"/>
      </w:hyperlink>
      <w:r w:rsidR="00D525D6" w:rsidRPr="00D525D6">
        <w:rPr>
          <w:bCs/>
          <w:sz w:val="22"/>
        </w:rPr>
        <w:t xml:space="preserve">. Polega on na łagodniejszym traktowaniu uczestnika niedozwolonego </w:t>
      </w:r>
      <w:r w:rsidR="00D525D6" w:rsidRPr="00D525D6">
        <w:rPr>
          <w:bCs/>
          <w:sz w:val="22"/>
        </w:rPr>
        <w:lastRenderedPageBreak/>
        <w:t>porozumienia</w:t>
      </w:r>
      <w:r w:rsidR="00812939">
        <w:rPr>
          <w:bCs/>
          <w:sz w:val="22"/>
        </w:rPr>
        <w:t xml:space="preserve">, </w:t>
      </w:r>
      <w:r w:rsidR="00D525D6" w:rsidRPr="00D525D6">
        <w:rPr>
          <w:bCs/>
          <w:sz w:val="22"/>
        </w:rPr>
        <w:t>jeśli dostarczy istotne dowody i współpracuje z urzędem. W 201</w:t>
      </w:r>
      <w:r w:rsidR="00D525D6">
        <w:rPr>
          <w:bCs/>
          <w:sz w:val="22"/>
        </w:rPr>
        <w:t>9</w:t>
      </w:r>
      <w:r w:rsidR="00D525D6" w:rsidRPr="00D525D6">
        <w:rPr>
          <w:bCs/>
          <w:sz w:val="22"/>
        </w:rPr>
        <w:t xml:space="preserve"> r. przedsiębiorcy złożyli siedem wniosków o objęcie programem.</w:t>
      </w:r>
    </w:p>
    <w:p w14:paraId="243827AB" w14:textId="6409E216" w:rsidR="00B2200C" w:rsidRDefault="00B2200C" w:rsidP="00986C37">
      <w:pPr>
        <w:spacing w:after="100" w:afterAutospacing="1" w:line="372" w:lineRule="auto"/>
        <w:jc w:val="both"/>
        <w:rPr>
          <w:b/>
          <w:bCs/>
          <w:sz w:val="22"/>
        </w:rPr>
      </w:pPr>
      <w:r w:rsidRPr="00B2200C">
        <w:rPr>
          <w:b/>
          <w:sz w:val="22"/>
        </w:rPr>
        <w:t>Od kwietnia 2017 r. funkcjonuje w UOKiK program „Sygnalista”</w:t>
      </w:r>
      <w:r w:rsidR="009A366B">
        <w:rPr>
          <w:b/>
          <w:sz w:val="22"/>
        </w:rPr>
        <w:t>,</w:t>
      </w:r>
      <w:r w:rsidRPr="00B2200C">
        <w:rPr>
          <w:sz w:val="22"/>
        </w:rPr>
        <w:t xml:space="preserve"> w ramach którego przekazywane są anonimowe sygnały dot</w:t>
      </w:r>
      <w:r w:rsidR="00812939">
        <w:rPr>
          <w:sz w:val="22"/>
        </w:rPr>
        <w:t>yczące</w:t>
      </w:r>
      <w:r w:rsidRPr="00B2200C">
        <w:rPr>
          <w:sz w:val="22"/>
        </w:rPr>
        <w:t xml:space="preserve"> potencjalnych naruszeń prawa konkurencji. </w:t>
      </w:r>
      <w:r w:rsidR="00A37362">
        <w:rPr>
          <w:sz w:val="22"/>
        </w:rPr>
        <w:t>Początkowo sygnaliści mogli nawiązywać kontakt z Urzędem</w:t>
      </w:r>
      <w:r w:rsidRPr="00B2200C">
        <w:rPr>
          <w:sz w:val="22"/>
        </w:rPr>
        <w:t xml:space="preserve"> </w:t>
      </w:r>
      <w:r w:rsidR="00983D7C">
        <w:rPr>
          <w:sz w:val="22"/>
        </w:rPr>
        <w:t>mailowo lub za pośrednictwem</w:t>
      </w:r>
      <w:r w:rsidRPr="00B2200C">
        <w:rPr>
          <w:sz w:val="22"/>
        </w:rPr>
        <w:t xml:space="preserve"> </w:t>
      </w:r>
      <w:r w:rsidR="00983D7C" w:rsidRPr="00B2200C">
        <w:rPr>
          <w:sz w:val="22"/>
        </w:rPr>
        <w:t>infolini</w:t>
      </w:r>
      <w:r w:rsidR="00983D7C">
        <w:rPr>
          <w:sz w:val="22"/>
        </w:rPr>
        <w:t>i</w:t>
      </w:r>
      <w:r w:rsidRPr="00B2200C">
        <w:rPr>
          <w:sz w:val="22"/>
        </w:rPr>
        <w:t xml:space="preserve">. </w:t>
      </w:r>
      <w:r w:rsidRPr="00B2200C">
        <w:rPr>
          <w:b/>
          <w:sz w:val="22"/>
        </w:rPr>
        <w:t xml:space="preserve">Od grudnia 2019 r. </w:t>
      </w:r>
      <w:r w:rsidR="00983D7C">
        <w:rPr>
          <w:b/>
          <w:sz w:val="22"/>
        </w:rPr>
        <w:t xml:space="preserve">zgłoszenia można </w:t>
      </w:r>
      <w:r w:rsidR="00983D7C" w:rsidRPr="00B2200C">
        <w:rPr>
          <w:b/>
          <w:sz w:val="22"/>
        </w:rPr>
        <w:t>dokon</w:t>
      </w:r>
      <w:r w:rsidR="00983D7C">
        <w:rPr>
          <w:b/>
          <w:sz w:val="22"/>
        </w:rPr>
        <w:t>ać</w:t>
      </w:r>
      <w:r w:rsidR="00983D7C" w:rsidRPr="00B2200C">
        <w:rPr>
          <w:b/>
          <w:sz w:val="22"/>
        </w:rPr>
        <w:t xml:space="preserve"> </w:t>
      </w:r>
      <w:r w:rsidRPr="00B2200C">
        <w:rPr>
          <w:b/>
          <w:sz w:val="22"/>
        </w:rPr>
        <w:t>za pomocą specjalnej, zapewniającej pełną anonimowość</w:t>
      </w:r>
      <w:r w:rsidR="00E71F4A">
        <w:rPr>
          <w:b/>
          <w:sz w:val="22"/>
        </w:rPr>
        <w:t>,</w:t>
      </w:r>
      <w:r w:rsidRPr="00B2200C">
        <w:rPr>
          <w:b/>
          <w:sz w:val="22"/>
        </w:rPr>
        <w:t xml:space="preserve"> platformy internetowej dostępnej pod adresem: </w:t>
      </w:r>
      <w:hyperlink r:id="rId9" w:history="1">
        <w:r w:rsidRPr="00EB2E02">
          <w:rPr>
            <w:rStyle w:val="Hipercze"/>
            <w:b/>
            <w:sz w:val="22"/>
          </w:rPr>
          <w:t>https://report.whistleb.com/pl/uokik</w:t>
        </w:r>
      </w:hyperlink>
      <w:r w:rsidRPr="00B2200C">
        <w:rPr>
          <w:sz w:val="22"/>
        </w:rPr>
        <w:t>.</w:t>
      </w:r>
      <w:r>
        <w:rPr>
          <w:sz w:val="22"/>
        </w:rPr>
        <w:t xml:space="preserve"> W 2019 roku do UOKiK </w:t>
      </w:r>
      <w:r w:rsidR="00F8138E">
        <w:rPr>
          <w:sz w:val="22"/>
        </w:rPr>
        <w:t xml:space="preserve">wpłynęło 1531 powiadomień od </w:t>
      </w:r>
      <w:hyperlink r:id="rId10" w:history="1">
        <w:r w:rsidR="00F8138E" w:rsidRPr="00F8138E">
          <w:rPr>
            <w:rStyle w:val="Hipercze"/>
            <w:b/>
            <w:bCs/>
            <w:sz w:val="22"/>
          </w:rPr>
          <w:t>anonimowych sygnalistów</w:t>
        </w:r>
      </w:hyperlink>
      <w:r w:rsidR="00F8138E">
        <w:rPr>
          <w:sz w:val="22"/>
        </w:rPr>
        <w:t xml:space="preserve">, w tym 57 przez nową platformę. </w:t>
      </w:r>
      <w:r w:rsidR="00F8138E" w:rsidRPr="00F8138E">
        <w:rPr>
          <w:sz w:val="22"/>
        </w:rPr>
        <w:t xml:space="preserve">Niektóre z nich zostały wykorzystane podczas </w:t>
      </w:r>
      <w:r w:rsidR="00F8138E">
        <w:rPr>
          <w:sz w:val="22"/>
        </w:rPr>
        <w:t>8</w:t>
      </w:r>
      <w:r w:rsidR="00F8138E" w:rsidRPr="00F8138E">
        <w:rPr>
          <w:sz w:val="22"/>
        </w:rPr>
        <w:t xml:space="preserve"> przeszukań, które urząd przeprowadził w siedzibach 2</w:t>
      </w:r>
      <w:r w:rsidR="00F8138E">
        <w:rPr>
          <w:sz w:val="22"/>
        </w:rPr>
        <w:t>3</w:t>
      </w:r>
      <w:r w:rsidR="00F8138E" w:rsidRPr="00F8138E">
        <w:rPr>
          <w:sz w:val="22"/>
        </w:rPr>
        <w:t xml:space="preserve"> przedsiębiorców. Przeszukanie to narzędzie stosowane w sytuacjach, kiedy zachodzi podejrzenie, że dany podmiot posiada dowody na stosowanie praktyki ograniczającej konkurencję.</w:t>
      </w:r>
      <w:r w:rsidR="00F8138E" w:rsidRPr="00F8138E">
        <w:rPr>
          <w:b/>
          <w:bCs/>
          <w:sz w:val="22"/>
        </w:rPr>
        <w:t> </w:t>
      </w:r>
      <w:r w:rsidR="00F8138E" w:rsidRPr="00A51BCF">
        <w:rPr>
          <w:bCs/>
          <w:sz w:val="22"/>
        </w:rPr>
        <w:t>Prowadzone jest</w:t>
      </w:r>
      <w:r w:rsidR="00F8138E" w:rsidRPr="00F8138E">
        <w:rPr>
          <w:b/>
          <w:bCs/>
          <w:sz w:val="22"/>
        </w:rPr>
        <w:t xml:space="preserve"> wyłącznie po uzyskaniu zgody sądu i najczęściej </w:t>
      </w:r>
      <w:r w:rsidR="00E71F4A">
        <w:rPr>
          <w:b/>
          <w:bCs/>
          <w:sz w:val="22"/>
        </w:rPr>
        <w:t>przy wsparciu</w:t>
      </w:r>
      <w:r w:rsidR="00F8138E" w:rsidRPr="00F8138E">
        <w:rPr>
          <w:b/>
          <w:bCs/>
          <w:sz w:val="22"/>
        </w:rPr>
        <w:t xml:space="preserve"> policji.</w:t>
      </w:r>
    </w:p>
    <w:p w14:paraId="19568186" w14:textId="77777777" w:rsidR="002A00FA" w:rsidRDefault="002A00FA" w:rsidP="00986C37">
      <w:pPr>
        <w:spacing w:after="100" w:afterAutospacing="1" w:line="372" w:lineRule="auto"/>
        <w:jc w:val="both"/>
        <w:rPr>
          <w:b/>
          <w:sz w:val="22"/>
        </w:rPr>
      </w:pPr>
      <w:r w:rsidRPr="002A00FA">
        <w:rPr>
          <w:b/>
          <w:sz w:val="22"/>
        </w:rPr>
        <w:t>Kontrola koncentracji</w:t>
      </w:r>
    </w:p>
    <w:p w14:paraId="26B3A036" w14:textId="2B186F8C" w:rsidR="002A00FA" w:rsidRDefault="00B708CB" w:rsidP="00986C37">
      <w:pPr>
        <w:spacing w:after="100" w:afterAutospacing="1" w:line="372" w:lineRule="auto"/>
        <w:jc w:val="both"/>
        <w:rPr>
          <w:sz w:val="22"/>
        </w:rPr>
      </w:pPr>
      <w:r w:rsidRPr="00B708CB">
        <w:rPr>
          <w:sz w:val="22"/>
        </w:rPr>
        <w:t>Ochrona konkurencji to także kontrola koncentracji. W 201</w:t>
      </w:r>
      <w:r>
        <w:rPr>
          <w:sz w:val="22"/>
        </w:rPr>
        <w:t>9</w:t>
      </w:r>
      <w:r w:rsidRPr="00B708CB">
        <w:rPr>
          <w:sz w:val="22"/>
        </w:rPr>
        <w:t xml:space="preserve"> roku </w:t>
      </w:r>
      <w:r w:rsidR="00565244">
        <w:rPr>
          <w:sz w:val="22"/>
        </w:rPr>
        <w:t>U</w:t>
      </w:r>
      <w:r w:rsidRPr="00B708CB">
        <w:rPr>
          <w:sz w:val="22"/>
        </w:rPr>
        <w:t xml:space="preserve">rząd </w:t>
      </w:r>
      <w:r w:rsidRPr="00A51BCF">
        <w:rPr>
          <w:b/>
          <w:sz w:val="22"/>
        </w:rPr>
        <w:t>wszczął 298 postępowań</w:t>
      </w:r>
      <w:r w:rsidRPr="00B708CB">
        <w:rPr>
          <w:sz w:val="22"/>
        </w:rPr>
        <w:t>, w których sprawdzał</w:t>
      </w:r>
      <w:r w:rsidR="00815D4B">
        <w:rPr>
          <w:sz w:val="22"/>
        </w:rPr>
        <w:t>,</w:t>
      </w:r>
      <w:r w:rsidRPr="00B708CB">
        <w:rPr>
          <w:sz w:val="22"/>
        </w:rPr>
        <w:t xml:space="preserve"> czy fuzje i przejęcia nie wpłyną negatywnie na rywalizację przedsiębiorców.</w:t>
      </w:r>
      <w:r w:rsidRPr="00B708CB">
        <w:rPr>
          <w:b/>
          <w:bCs/>
          <w:sz w:val="22"/>
        </w:rPr>
        <w:t> </w:t>
      </w:r>
      <w:r w:rsidR="001F227E">
        <w:rPr>
          <w:b/>
          <w:bCs/>
          <w:sz w:val="22"/>
        </w:rPr>
        <w:t>2019</w:t>
      </w:r>
      <w:r w:rsidRPr="00B708CB">
        <w:rPr>
          <w:b/>
          <w:bCs/>
          <w:sz w:val="22"/>
        </w:rPr>
        <w:t xml:space="preserve"> rok to 2</w:t>
      </w:r>
      <w:r>
        <w:rPr>
          <w:b/>
          <w:bCs/>
          <w:sz w:val="22"/>
        </w:rPr>
        <w:t>61</w:t>
      </w:r>
      <w:r w:rsidRPr="00B708CB">
        <w:rPr>
          <w:b/>
          <w:bCs/>
          <w:sz w:val="22"/>
        </w:rPr>
        <w:t xml:space="preserve"> zgód na transakcje</w:t>
      </w:r>
      <w:r w:rsidRPr="00B708CB">
        <w:rPr>
          <w:sz w:val="22"/>
        </w:rPr>
        <w:t> </w:t>
      </w:r>
      <w:r w:rsidR="00983D7C">
        <w:rPr>
          <w:sz w:val="22"/>
        </w:rPr>
        <w:t>oraz</w:t>
      </w:r>
      <w:r w:rsidR="00983D7C" w:rsidRPr="00B708CB">
        <w:rPr>
          <w:sz w:val="22"/>
        </w:rPr>
        <w:t xml:space="preserve"> </w:t>
      </w:r>
      <w:r w:rsidR="00F63C16" w:rsidRPr="00A51BCF">
        <w:rPr>
          <w:b/>
          <w:sz w:val="22"/>
        </w:rPr>
        <w:t>5</w:t>
      </w:r>
      <w:r w:rsidRPr="00A51BCF">
        <w:rPr>
          <w:b/>
          <w:sz w:val="22"/>
        </w:rPr>
        <w:t xml:space="preserve"> </w:t>
      </w:r>
      <w:r w:rsidR="00F63C16" w:rsidRPr="00A51BCF">
        <w:rPr>
          <w:b/>
          <w:sz w:val="22"/>
        </w:rPr>
        <w:t>zgód warunkowych</w:t>
      </w:r>
      <w:r w:rsidRPr="00B708CB">
        <w:rPr>
          <w:sz w:val="22"/>
        </w:rPr>
        <w:t>. Zdecydowana większość postępowań (ponad 9</w:t>
      </w:r>
      <w:r w:rsidR="00F63C16">
        <w:rPr>
          <w:sz w:val="22"/>
        </w:rPr>
        <w:t>6</w:t>
      </w:r>
      <w:r w:rsidRPr="00B708CB">
        <w:rPr>
          <w:sz w:val="22"/>
        </w:rPr>
        <w:t xml:space="preserve"> proc.) zakończyła się w pierwszej fazie. Koncentracje najczęściej dotyczyły branży</w:t>
      </w:r>
      <w:r w:rsidR="00F63C16">
        <w:rPr>
          <w:sz w:val="22"/>
        </w:rPr>
        <w:t xml:space="preserve"> nieruchomości (38)</w:t>
      </w:r>
      <w:r w:rsidR="00812939">
        <w:rPr>
          <w:sz w:val="22"/>
        </w:rPr>
        <w:t>,</w:t>
      </w:r>
      <w:r w:rsidRPr="00B708CB">
        <w:rPr>
          <w:sz w:val="22"/>
        </w:rPr>
        <w:t xml:space="preserve"> </w:t>
      </w:r>
      <w:r w:rsidR="00F63C16">
        <w:rPr>
          <w:sz w:val="22"/>
        </w:rPr>
        <w:t>usług finansowych</w:t>
      </w:r>
      <w:r w:rsidRPr="00B708CB">
        <w:rPr>
          <w:sz w:val="22"/>
        </w:rPr>
        <w:t xml:space="preserve"> (</w:t>
      </w:r>
      <w:r w:rsidR="00F63C16">
        <w:rPr>
          <w:sz w:val="22"/>
        </w:rPr>
        <w:t xml:space="preserve">23) </w:t>
      </w:r>
      <w:r w:rsidRPr="00B708CB">
        <w:rPr>
          <w:sz w:val="22"/>
        </w:rPr>
        <w:t xml:space="preserve">i </w:t>
      </w:r>
      <w:r w:rsidR="00F63C16">
        <w:rPr>
          <w:sz w:val="22"/>
        </w:rPr>
        <w:t xml:space="preserve">handlu </w:t>
      </w:r>
      <w:r w:rsidRPr="00B708CB">
        <w:rPr>
          <w:sz w:val="22"/>
        </w:rPr>
        <w:t>(</w:t>
      </w:r>
      <w:r w:rsidR="00F63C16">
        <w:rPr>
          <w:sz w:val="22"/>
        </w:rPr>
        <w:t>21</w:t>
      </w:r>
      <w:r w:rsidRPr="00B708CB">
        <w:rPr>
          <w:sz w:val="22"/>
        </w:rPr>
        <w:t>).</w:t>
      </w:r>
    </w:p>
    <w:p w14:paraId="541609BD" w14:textId="77777777" w:rsidR="00AE66CE" w:rsidRDefault="00AE66CE" w:rsidP="00986C37">
      <w:pPr>
        <w:spacing w:after="100" w:afterAutospacing="1" w:line="372" w:lineRule="auto"/>
        <w:jc w:val="both"/>
        <w:rPr>
          <w:b/>
          <w:sz w:val="22"/>
        </w:rPr>
      </w:pPr>
      <w:r w:rsidRPr="00AE66CE">
        <w:rPr>
          <w:b/>
          <w:sz w:val="22"/>
        </w:rPr>
        <w:t>Przewaga kontraktowa</w:t>
      </w:r>
    </w:p>
    <w:p w14:paraId="6C80747E" w14:textId="41A4AAA9" w:rsidR="00AE66CE" w:rsidRDefault="00AE66CE" w:rsidP="00986C37">
      <w:pPr>
        <w:spacing w:after="100" w:afterAutospacing="1" w:line="372" w:lineRule="auto"/>
        <w:jc w:val="both"/>
        <w:rPr>
          <w:bCs/>
          <w:iCs/>
          <w:sz w:val="22"/>
        </w:rPr>
      </w:pPr>
      <w:r w:rsidRPr="00AE66CE">
        <w:rPr>
          <w:bCs/>
          <w:iCs/>
          <w:sz w:val="22"/>
        </w:rPr>
        <w:t>Rok 201</w:t>
      </w:r>
      <w:r>
        <w:rPr>
          <w:bCs/>
          <w:iCs/>
          <w:sz w:val="22"/>
        </w:rPr>
        <w:t>9</w:t>
      </w:r>
      <w:r w:rsidRPr="00AE66CE">
        <w:rPr>
          <w:bCs/>
          <w:iCs/>
          <w:sz w:val="22"/>
        </w:rPr>
        <w:t xml:space="preserve"> to </w:t>
      </w:r>
      <w:r>
        <w:rPr>
          <w:bCs/>
          <w:iCs/>
          <w:sz w:val="22"/>
        </w:rPr>
        <w:t>kolejne działania UOKiK dotyczące</w:t>
      </w:r>
      <w:r w:rsidR="00983D7C">
        <w:rPr>
          <w:bCs/>
          <w:iCs/>
          <w:sz w:val="22"/>
        </w:rPr>
        <w:t xml:space="preserve"> nieuczciwego wykorzystywania</w:t>
      </w:r>
      <w:r>
        <w:rPr>
          <w:bCs/>
          <w:iCs/>
          <w:sz w:val="22"/>
        </w:rPr>
        <w:t xml:space="preserve"> przewagi kontraktowej</w:t>
      </w:r>
      <w:r w:rsidR="00983D7C">
        <w:rPr>
          <w:bCs/>
          <w:iCs/>
          <w:sz w:val="22"/>
        </w:rPr>
        <w:t xml:space="preserve"> w obrocie produktami rolnymi i spożywczymi</w:t>
      </w:r>
      <w:r>
        <w:rPr>
          <w:bCs/>
          <w:iCs/>
          <w:sz w:val="22"/>
        </w:rPr>
        <w:t xml:space="preserve">. </w:t>
      </w:r>
      <w:r w:rsidR="00E71F4A">
        <w:rPr>
          <w:bCs/>
          <w:iCs/>
          <w:sz w:val="22"/>
        </w:rPr>
        <w:t>Prezes Urzędu</w:t>
      </w:r>
      <w:r>
        <w:rPr>
          <w:bCs/>
          <w:iCs/>
          <w:sz w:val="22"/>
        </w:rPr>
        <w:t xml:space="preserve"> wydał </w:t>
      </w:r>
      <w:r w:rsidRPr="00A51BCF">
        <w:rPr>
          <w:b/>
          <w:bCs/>
          <w:iCs/>
          <w:sz w:val="22"/>
        </w:rPr>
        <w:t>5 decyzji</w:t>
      </w:r>
      <w:r w:rsidR="00983D7C">
        <w:rPr>
          <w:b/>
          <w:bCs/>
          <w:iCs/>
          <w:sz w:val="22"/>
        </w:rPr>
        <w:t>,</w:t>
      </w:r>
      <w:r w:rsidRPr="00A51BCF">
        <w:rPr>
          <w:b/>
          <w:bCs/>
          <w:iCs/>
          <w:sz w:val="22"/>
        </w:rPr>
        <w:t xml:space="preserve"> w tym </w:t>
      </w:r>
      <w:hyperlink r:id="rId11" w:history="1">
        <w:r w:rsidRPr="00A51BCF">
          <w:rPr>
            <w:rStyle w:val="Hipercze"/>
            <w:b/>
            <w:bCs/>
            <w:iCs/>
            <w:sz w:val="22"/>
          </w:rPr>
          <w:t xml:space="preserve">pierwszą decyzję </w:t>
        </w:r>
        <w:r w:rsidR="00983D7C">
          <w:rPr>
            <w:rStyle w:val="Hipercze"/>
            <w:b/>
            <w:bCs/>
            <w:iCs/>
            <w:sz w:val="22"/>
          </w:rPr>
          <w:t>nakładającą</w:t>
        </w:r>
        <w:r w:rsidR="00565244" w:rsidRPr="00A51BCF">
          <w:rPr>
            <w:rStyle w:val="Hipercze"/>
            <w:b/>
            <w:bCs/>
            <w:iCs/>
            <w:sz w:val="22"/>
          </w:rPr>
          <w:t xml:space="preserve"> kar</w:t>
        </w:r>
        <w:r w:rsidR="00983D7C">
          <w:rPr>
            <w:rStyle w:val="Hipercze"/>
            <w:b/>
            <w:bCs/>
            <w:iCs/>
            <w:sz w:val="22"/>
          </w:rPr>
          <w:t>ę</w:t>
        </w:r>
      </w:hyperlink>
      <w:r w:rsidR="00983D7C">
        <w:rPr>
          <w:rStyle w:val="Hipercze"/>
          <w:b/>
          <w:bCs/>
          <w:iCs/>
          <w:sz w:val="22"/>
        </w:rPr>
        <w:t xml:space="preserve"> na przedsiębiorcę</w:t>
      </w:r>
      <w:r w:rsidR="00565244" w:rsidRPr="00A51BCF">
        <w:rPr>
          <w:b/>
          <w:bCs/>
          <w:iCs/>
          <w:sz w:val="22"/>
        </w:rPr>
        <w:t>.</w:t>
      </w:r>
      <w:r w:rsidR="00565244">
        <w:rPr>
          <w:bCs/>
          <w:iCs/>
          <w:sz w:val="22"/>
        </w:rPr>
        <w:t xml:space="preserve"> </w:t>
      </w:r>
      <w:r w:rsidR="003D4CB5">
        <w:rPr>
          <w:bCs/>
          <w:iCs/>
          <w:sz w:val="22"/>
        </w:rPr>
        <w:t>Dotyczyła ona</w:t>
      </w:r>
      <w:r w:rsidR="00565244" w:rsidRPr="00565244">
        <w:rPr>
          <w:bCs/>
          <w:iCs/>
          <w:sz w:val="22"/>
        </w:rPr>
        <w:t xml:space="preserve"> T.B. </w:t>
      </w:r>
      <w:proofErr w:type="spellStart"/>
      <w:r w:rsidR="00565244" w:rsidRPr="00565244">
        <w:rPr>
          <w:bCs/>
          <w:iCs/>
          <w:sz w:val="22"/>
        </w:rPr>
        <w:t>Fruit</w:t>
      </w:r>
      <w:proofErr w:type="spellEnd"/>
      <w:r w:rsidR="00565244" w:rsidRPr="00565244">
        <w:rPr>
          <w:bCs/>
          <w:iCs/>
          <w:sz w:val="22"/>
        </w:rPr>
        <w:t xml:space="preserve"> Polska</w:t>
      </w:r>
      <w:r w:rsidR="003D4CB5">
        <w:rPr>
          <w:bCs/>
          <w:iCs/>
          <w:sz w:val="22"/>
        </w:rPr>
        <w:t xml:space="preserve">, a kara </w:t>
      </w:r>
      <w:r w:rsidR="003D4CB5" w:rsidRPr="003D4CB5">
        <w:rPr>
          <w:bCs/>
          <w:iCs/>
          <w:sz w:val="22"/>
        </w:rPr>
        <w:t xml:space="preserve">za niedotrzymywanie ustalonych </w:t>
      </w:r>
      <w:r w:rsidR="003D4CB5">
        <w:rPr>
          <w:bCs/>
          <w:iCs/>
          <w:sz w:val="22"/>
        </w:rPr>
        <w:t>przez siebie terminów płatności wynosiła 8,3 mln złotych. Stanowiło to</w:t>
      </w:r>
      <w:r w:rsidR="00565244" w:rsidRPr="00565244">
        <w:rPr>
          <w:bCs/>
          <w:iCs/>
          <w:sz w:val="22"/>
        </w:rPr>
        <w:t xml:space="preserve"> 3 proc. obrotu spółki</w:t>
      </w:r>
      <w:r w:rsidR="00565244">
        <w:rPr>
          <w:bCs/>
          <w:iCs/>
          <w:sz w:val="22"/>
        </w:rPr>
        <w:t xml:space="preserve"> z poprzedniego roku</w:t>
      </w:r>
      <w:r w:rsidR="00565244" w:rsidRPr="00565244">
        <w:rPr>
          <w:bCs/>
          <w:iCs/>
          <w:sz w:val="22"/>
        </w:rPr>
        <w:t xml:space="preserve">, </w:t>
      </w:r>
      <w:r w:rsidR="003D4CB5">
        <w:rPr>
          <w:bCs/>
          <w:iCs/>
          <w:sz w:val="22"/>
        </w:rPr>
        <w:t xml:space="preserve">co oznacza </w:t>
      </w:r>
      <w:r w:rsidR="00815D4B" w:rsidRPr="00565244">
        <w:rPr>
          <w:bCs/>
          <w:iCs/>
          <w:sz w:val="22"/>
        </w:rPr>
        <w:t>najw</w:t>
      </w:r>
      <w:r w:rsidR="00815D4B">
        <w:rPr>
          <w:bCs/>
          <w:iCs/>
          <w:sz w:val="22"/>
        </w:rPr>
        <w:t>yższy</w:t>
      </w:r>
      <w:r w:rsidR="00815D4B" w:rsidRPr="00565244">
        <w:rPr>
          <w:bCs/>
          <w:iCs/>
          <w:sz w:val="22"/>
        </w:rPr>
        <w:t xml:space="preserve"> </w:t>
      </w:r>
      <w:r w:rsidR="00565244" w:rsidRPr="00565244">
        <w:rPr>
          <w:bCs/>
          <w:iCs/>
          <w:sz w:val="22"/>
        </w:rPr>
        <w:t>wymiar kary za nieuczciwe wykorzystanie przewagi kontraktowej.</w:t>
      </w:r>
      <w:r w:rsidR="00565244">
        <w:rPr>
          <w:bCs/>
          <w:iCs/>
          <w:sz w:val="22"/>
        </w:rPr>
        <w:t xml:space="preserve"> </w:t>
      </w:r>
      <w:r w:rsidR="00E71F4A">
        <w:rPr>
          <w:bCs/>
          <w:iCs/>
          <w:sz w:val="22"/>
        </w:rPr>
        <w:t>Wszczęto</w:t>
      </w:r>
      <w:r w:rsidR="003D4CB5">
        <w:rPr>
          <w:bCs/>
          <w:iCs/>
          <w:sz w:val="22"/>
        </w:rPr>
        <w:t xml:space="preserve"> </w:t>
      </w:r>
      <w:r w:rsidR="003D4CB5" w:rsidRPr="003D4CB5">
        <w:rPr>
          <w:b/>
          <w:bCs/>
          <w:iCs/>
          <w:sz w:val="22"/>
        </w:rPr>
        <w:t xml:space="preserve">19 postępowań </w:t>
      </w:r>
      <w:r w:rsidR="003D4CB5" w:rsidRPr="003D4CB5">
        <w:rPr>
          <w:b/>
          <w:bCs/>
          <w:iCs/>
          <w:sz w:val="22"/>
        </w:rPr>
        <w:lastRenderedPageBreak/>
        <w:t>wyjaśniających</w:t>
      </w:r>
      <w:r w:rsidR="00565244">
        <w:rPr>
          <w:bCs/>
          <w:iCs/>
          <w:sz w:val="22"/>
        </w:rPr>
        <w:t xml:space="preserve"> </w:t>
      </w:r>
      <w:r w:rsidR="003D4CB5">
        <w:rPr>
          <w:bCs/>
          <w:iCs/>
          <w:sz w:val="22"/>
        </w:rPr>
        <w:t>oraz</w:t>
      </w:r>
      <w:r w:rsidR="00565244">
        <w:rPr>
          <w:bCs/>
          <w:iCs/>
          <w:sz w:val="22"/>
        </w:rPr>
        <w:t xml:space="preserve"> </w:t>
      </w:r>
      <w:r w:rsidR="00565244" w:rsidRPr="00A51BCF">
        <w:rPr>
          <w:b/>
          <w:bCs/>
          <w:iCs/>
          <w:sz w:val="22"/>
        </w:rPr>
        <w:t>jedno postępowanie</w:t>
      </w:r>
      <w:r w:rsidR="003D4CB5">
        <w:rPr>
          <w:b/>
          <w:bCs/>
          <w:iCs/>
          <w:sz w:val="22"/>
        </w:rPr>
        <w:t xml:space="preserve"> właściwe</w:t>
      </w:r>
      <w:r w:rsidR="00565244">
        <w:rPr>
          <w:bCs/>
          <w:iCs/>
          <w:sz w:val="22"/>
        </w:rPr>
        <w:t xml:space="preserve"> </w:t>
      </w:r>
      <w:r w:rsidR="003D4CB5">
        <w:rPr>
          <w:bCs/>
          <w:iCs/>
          <w:sz w:val="22"/>
        </w:rPr>
        <w:t>w sprawie praktyk nieuczciwie wykorzystujących przewagę kontraktową</w:t>
      </w:r>
      <w:r w:rsidR="00565244">
        <w:rPr>
          <w:bCs/>
          <w:iCs/>
          <w:sz w:val="22"/>
        </w:rPr>
        <w:t>.</w:t>
      </w:r>
      <w:r w:rsidR="00812939">
        <w:rPr>
          <w:bCs/>
          <w:iCs/>
          <w:sz w:val="22"/>
        </w:rPr>
        <w:t xml:space="preserve"> </w:t>
      </w:r>
      <w:r w:rsidR="003D4CB5">
        <w:rPr>
          <w:bCs/>
          <w:iCs/>
          <w:sz w:val="22"/>
        </w:rPr>
        <w:t xml:space="preserve">Ponadto skierował </w:t>
      </w:r>
      <w:r w:rsidR="00565244">
        <w:rPr>
          <w:bCs/>
          <w:iCs/>
          <w:sz w:val="22"/>
        </w:rPr>
        <w:t>40 wystąpień miękkich do przedsiębiorców</w:t>
      </w:r>
      <w:r w:rsidR="003D4CB5">
        <w:rPr>
          <w:bCs/>
          <w:iCs/>
          <w:sz w:val="22"/>
        </w:rPr>
        <w:t xml:space="preserve"> </w:t>
      </w:r>
      <w:r w:rsidR="003D4CB5" w:rsidRPr="003D4CB5">
        <w:rPr>
          <w:bCs/>
          <w:iCs/>
          <w:sz w:val="22"/>
        </w:rPr>
        <w:t>w celu uzyskania wyjaśnień lub z nakazem zaprzestania wykorzystywania w nieuczciwy sposób swojej przewagi kontraktowej nad rolnikami</w:t>
      </w:r>
      <w:r w:rsidR="00565244">
        <w:rPr>
          <w:bCs/>
          <w:iCs/>
          <w:sz w:val="22"/>
        </w:rPr>
        <w:t>.</w:t>
      </w:r>
    </w:p>
    <w:p w14:paraId="17020800" w14:textId="77777777" w:rsidR="00565244" w:rsidRPr="00565244" w:rsidRDefault="00565244" w:rsidP="00565244">
      <w:pPr>
        <w:spacing w:after="100" w:afterAutospacing="1" w:line="372" w:lineRule="auto"/>
        <w:jc w:val="both"/>
        <w:rPr>
          <w:sz w:val="22"/>
        </w:rPr>
      </w:pPr>
      <w:r w:rsidRPr="00565244">
        <w:rPr>
          <w:b/>
          <w:bCs/>
          <w:sz w:val="22"/>
        </w:rPr>
        <w:t>Pomoc publiczna</w:t>
      </w:r>
    </w:p>
    <w:p w14:paraId="43F9B626" w14:textId="452657C7" w:rsidR="00565244" w:rsidRDefault="00565244" w:rsidP="00986C37">
      <w:pPr>
        <w:spacing w:after="100" w:afterAutospacing="1" w:line="372" w:lineRule="auto"/>
        <w:jc w:val="both"/>
        <w:rPr>
          <w:sz w:val="22"/>
        </w:rPr>
      </w:pPr>
      <w:r w:rsidRPr="00565244">
        <w:rPr>
          <w:sz w:val="22"/>
        </w:rPr>
        <w:t>Pomoc publiczna jest ingerencją państwa w mechanizmy wolnego rynku, dlatego stosowana jest w ograniczonym zakresie. UOKiK wstępnie ocenia wsparcie indywidualne i programy pomocowe pod kątem zgodności z prawem unijnym oraz </w:t>
      </w:r>
      <w:hyperlink r:id="rId12" w:history="1">
        <w:r w:rsidRPr="00565244">
          <w:rPr>
            <w:rStyle w:val="Hipercze"/>
            <w:sz w:val="22"/>
          </w:rPr>
          <w:t>monitoruje pomoc publiczną</w:t>
        </w:r>
      </w:hyperlink>
      <w:r w:rsidRPr="00815D4B">
        <w:rPr>
          <w:sz w:val="22"/>
        </w:rPr>
        <w:t>. </w:t>
      </w:r>
      <w:r w:rsidRPr="00A51BCF">
        <w:rPr>
          <w:bCs/>
          <w:sz w:val="22"/>
        </w:rPr>
        <w:t>W 2019</w:t>
      </w:r>
      <w:r w:rsidR="003D657A">
        <w:rPr>
          <w:bCs/>
          <w:sz w:val="22"/>
        </w:rPr>
        <w:t xml:space="preserve"> roku </w:t>
      </w:r>
      <w:r w:rsidR="003D657A" w:rsidRPr="003D657A">
        <w:rPr>
          <w:bCs/>
          <w:sz w:val="22"/>
        </w:rPr>
        <w:t>Urząd zaopiniował 19 projektów pomocy publicznej i projektów rządowych oraz notyfikował Komisji Europejskiej 19 projektów przewidujących udzielenie przedsiębiorcom pomocy publicznej.</w:t>
      </w:r>
      <w:r w:rsidRPr="00A51BCF">
        <w:rPr>
          <w:bCs/>
          <w:sz w:val="22"/>
        </w:rPr>
        <w:t xml:space="preserve"> </w:t>
      </w:r>
      <w:r w:rsidR="003D657A">
        <w:rPr>
          <w:bCs/>
          <w:sz w:val="22"/>
        </w:rPr>
        <w:t>D</w:t>
      </w:r>
      <w:r w:rsidRPr="00A51BCF">
        <w:rPr>
          <w:bCs/>
          <w:sz w:val="22"/>
        </w:rPr>
        <w:t xml:space="preserve">o Prezesa UOKiK </w:t>
      </w:r>
      <w:r w:rsidRPr="00815D4B">
        <w:rPr>
          <w:b/>
          <w:bCs/>
          <w:sz w:val="22"/>
        </w:rPr>
        <w:t>wpłynęły</w:t>
      </w:r>
      <w:r w:rsidRPr="00A51BCF">
        <w:rPr>
          <w:bCs/>
          <w:sz w:val="22"/>
        </w:rPr>
        <w:t xml:space="preserve"> </w:t>
      </w:r>
      <w:r>
        <w:rPr>
          <w:b/>
          <w:bCs/>
          <w:sz w:val="22"/>
        </w:rPr>
        <w:t>502</w:t>
      </w:r>
      <w:r w:rsidRPr="00565244">
        <w:rPr>
          <w:b/>
          <w:bCs/>
          <w:sz w:val="22"/>
        </w:rPr>
        <w:t xml:space="preserve"> </w:t>
      </w:r>
      <w:r w:rsidR="00815D4B" w:rsidRPr="00565244">
        <w:rPr>
          <w:b/>
          <w:bCs/>
          <w:sz w:val="22"/>
        </w:rPr>
        <w:t>wniosk</w:t>
      </w:r>
      <w:r w:rsidR="00815D4B">
        <w:rPr>
          <w:b/>
          <w:bCs/>
          <w:sz w:val="22"/>
        </w:rPr>
        <w:t>i</w:t>
      </w:r>
      <w:r w:rsidR="00815D4B" w:rsidRPr="00565244">
        <w:rPr>
          <w:b/>
          <w:bCs/>
          <w:sz w:val="22"/>
        </w:rPr>
        <w:t xml:space="preserve"> </w:t>
      </w:r>
      <w:r w:rsidRPr="00565244">
        <w:rPr>
          <w:b/>
          <w:bCs/>
          <w:sz w:val="22"/>
        </w:rPr>
        <w:t xml:space="preserve">o </w:t>
      </w:r>
      <w:r w:rsidR="003D657A">
        <w:rPr>
          <w:b/>
          <w:bCs/>
          <w:sz w:val="22"/>
        </w:rPr>
        <w:t>dokonan</w:t>
      </w:r>
      <w:r w:rsidR="003D657A" w:rsidRPr="00565244">
        <w:rPr>
          <w:b/>
          <w:bCs/>
          <w:sz w:val="22"/>
        </w:rPr>
        <w:t xml:space="preserve">ie </w:t>
      </w:r>
      <w:r w:rsidRPr="00565244">
        <w:rPr>
          <w:b/>
          <w:bCs/>
          <w:sz w:val="22"/>
        </w:rPr>
        <w:t xml:space="preserve">interpretacji i </w:t>
      </w:r>
      <w:r>
        <w:rPr>
          <w:b/>
          <w:bCs/>
          <w:sz w:val="22"/>
        </w:rPr>
        <w:t>499</w:t>
      </w:r>
      <w:r w:rsidRPr="00565244">
        <w:rPr>
          <w:b/>
          <w:bCs/>
          <w:sz w:val="22"/>
        </w:rPr>
        <w:t xml:space="preserve"> </w:t>
      </w:r>
      <w:r w:rsidR="00815D4B" w:rsidRPr="00565244">
        <w:rPr>
          <w:b/>
          <w:bCs/>
          <w:sz w:val="22"/>
        </w:rPr>
        <w:t>projekt</w:t>
      </w:r>
      <w:r w:rsidR="00812939">
        <w:rPr>
          <w:b/>
          <w:bCs/>
          <w:sz w:val="22"/>
        </w:rPr>
        <w:t>ów</w:t>
      </w:r>
      <w:r w:rsidR="00815D4B" w:rsidRPr="00565244">
        <w:rPr>
          <w:b/>
          <w:bCs/>
          <w:sz w:val="22"/>
        </w:rPr>
        <w:t xml:space="preserve"> </w:t>
      </w:r>
      <w:r w:rsidRPr="00565244">
        <w:rPr>
          <w:b/>
          <w:bCs/>
          <w:sz w:val="22"/>
        </w:rPr>
        <w:t>dokumentów rządowych do analizy.</w:t>
      </w:r>
    </w:p>
    <w:p w14:paraId="5DCDBAF3" w14:textId="77777777" w:rsidR="002B3A4D" w:rsidRDefault="002B3A4D" w:rsidP="00986C37">
      <w:pPr>
        <w:spacing w:after="100" w:afterAutospacing="1" w:line="372" w:lineRule="auto"/>
        <w:jc w:val="both"/>
        <w:rPr>
          <w:b/>
          <w:sz w:val="22"/>
        </w:rPr>
      </w:pPr>
      <w:r w:rsidRPr="002B3A4D">
        <w:rPr>
          <w:b/>
          <w:sz w:val="22"/>
        </w:rPr>
        <w:t>OCHRONA KONSUMENTÓW</w:t>
      </w:r>
    </w:p>
    <w:p w14:paraId="3889F2BD" w14:textId="77777777" w:rsidR="000628EA" w:rsidRDefault="000628EA" w:rsidP="00986C37">
      <w:pPr>
        <w:spacing w:after="100" w:afterAutospacing="1" w:line="372" w:lineRule="auto"/>
        <w:jc w:val="both"/>
        <w:rPr>
          <w:b/>
          <w:bCs/>
          <w:sz w:val="22"/>
        </w:rPr>
      </w:pPr>
      <w:r w:rsidRPr="000628EA">
        <w:rPr>
          <w:b/>
          <w:bCs/>
          <w:sz w:val="22"/>
        </w:rPr>
        <w:t>Ochrona zbiorowych interesów konsumentów i niedozwolone postanowienia umowne</w:t>
      </w:r>
    </w:p>
    <w:p w14:paraId="1F321D2C" w14:textId="692B2A2F" w:rsidR="00AD6C68" w:rsidRDefault="00AD6C68" w:rsidP="00986C37">
      <w:pPr>
        <w:spacing w:after="100" w:afterAutospacing="1" w:line="372" w:lineRule="auto"/>
        <w:jc w:val="both"/>
        <w:rPr>
          <w:sz w:val="22"/>
        </w:rPr>
      </w:pPr>
      <w:r w:rsidRPr="000C3ED9">
        <w:rPr>
          <w:sz w:val="22"/>
        </w:rPr>
        <w:t xml:space="preserve">Niezwykle istotnym </w:t>
      </w:r>
      <w:r w:rsidR="000C3ED9" w:rsidRPr="000C3ED9">
        <w:rPr>
          <w:sz w:val="22"/>
        </w:rPr>
        <w:t xml:space="preserve">obszarem działalności UOKiK była w 2019 roku ochrona wrażliwych grup społecznych, m.in. seniorów. </w:t>
      </w:r>
      <w:r w:rsidR="00E71F4A" w:rsidRPr="00E71F4A">
        <w:rPr>
          <w:b/>
          <w:bCs/>
          <w:sz w:val="22"/>
        </w:rPr>
        <w:t xml:space="preserve">Prezes </w:t>
      </w:r>
      <w:r w:rsidR="000C3ED9" w:rsidRPr="00E71F4A">
        <w:rPr>
          <w:b/>
          <w:bCs/>
          <w:sz w:val="22"/>
        </w:rPr>
        <w:t>Urz</w:t>
      </w:r>
      <w:r w:rsidR="00E71F4A" w:rsidRPr="00E71F4A">
        <w:rPr>
          <w:b/>
          <w:bCs/>
          <w:sz w:val="22"/>
        </w:rPr>
        <w:t>ędu</w:t>
      </w:r>
      <w:r w:rsidR="000C3ED9" w:rsidRPr="000C3ED9">
        <w:rPr>
          <w:sz w:val="22"/>
        </w:rPr>
        <w:t xml:space="preserve"> </w:t>
      </w:r>
      <w:r w:rsidR="000C3ED9" w:rsidRPr="00A51BCF">
        <w:rPr>
          <w:b/>
          <w:sz w:val="22"/>
        </w:rPr>
        <w:t>wydał decyzje w</w:t>
      </w:r>
      <w:r w:rsidR="00812939">
        <w:rPr>
          <w:b/>
          <w:sz w:val="22"/>
        </w:rPr>
        <w:t xml:space="preserve"> </w:t>
      </w:r>
      <w:r w:rsidR="000C3ED9" w:rsidRPr="00A51BCF">
        <w:rPr>
          <w:b/>
          <w:sz w:val="22"/>
        </w:rPr>
        <w:t>s</w:t>
      </w:r>
      <w:r w:rsidR="00812939">
        <w:rPr>
          <w:b/>
          <w:sz w:val="22"/>
        </w:rPr>
        <w:t>prawie</w:t>
      </w:r>
      <w:r w:rsidR="00812939" w:rsidRPr="00A51BCF">
        <w:rPr>
          <w:b/>
          <w:sz w:val="22"/>
        </w:rPr>
        <w:t xml:space="preserve"> </w:t>
      </w:r>
      <w:r w:rsidR="000C3ED9" w:rsidRPr="00A51BCF">
        <w:rPr>
          <w:b/>
          <w:sz w:val="22"/>
        </w:rPr>
        <w:t>nieuczciwych pokazów handlowych z rekordowymi w historii karami finansowymi</w:t>
      </w:r>
      <w:r w:rsidR="000C3ED9" w:rsidRPr="000C3ED9">
        <w:rPr>
          <w:sz w:val="22"/>
        </w:rPr>
        <w:t xml:space="preserve">: </w:t>
      </w:r>
      <w:r w:rsidR="000C3ED9">
        <w:rPr>
          <w:sz w:val="22"/>
        </w:rPr>
        <w:t xml:space="preserve">kara dla </w:t>
      </w:r>
      <w:hyperlink r:id="rId13" w:history="1">
        <w:r w:rsidR="000C3ED9" w:rsidRPr="000C3ED9">
          <w:rPr>
            <w:rStyle w:val="Hipercze"/>
            <w:sz w:val="22"/>
          </w:rPr>
          <w:t xml:space="preserve">spółki </w:t>
        </w:r>
        <w:proofErr w:type="spellStart"/>
        <w:r w:rsidR="000C3ED9" w:rsidRPr="000C3ED9">
          <w:rPr>
            <w:rStyle w:val="Hipercze"/>
            <w:sz w:val="22"/>
          </w:rPr>
          <w:t>Exito</w:t>
        </w:r>
        <w:proofErr w:type="spellEnd"/>
        <w:r w:rsidR="000C3ED9" w:rsidRPr="000C3ED9">
          <w:rPr>
            <w:rStyle w:val="Hipercze"/>
            <w:sz w:val="22"/>
          </w:rPr>
          <w:t xml:space="preserve"> z Opalenicy</w:t>
        </w:r>
      </w:hyperlink>
      <w:r w:rsidR="000C3ED9">
        <w:rPr>
          <w:sz w:val="22"/>
        </w:rPr>
        <w:t xml:space="preserve"> wyniosła </w:t>
      </w:r>
      <w:r w:rsidR="000C3ED9" w:rsidRPr="00A51BCF">
        <w:rPr>
          <w:b/>
          <w:sz w:val="22"/>
        </w:rPr>
        <w:t>prawie 4 mln złotych</w:t>
      </w:r>
      <w:r w:rsidR="000C3ED9">
        <w:rPr>
          <w:sz w:val="22"/>
        </w:rPr>
        <w:t xml:space="preserve">, natomiast dla </w:t>
      </w:r>
      <w:hyperlink r:id="rId14" w:history="1">
        <w:r w:rsidR="000C3ED9" w:rsidRPr="000C3ED9">
          <w:rPr>
            <w:rStyle w:val="Hipercze"/>
            <w:sz w:val="22"/>
          </w:rPr>
          <w:t>firmy VGET POLSKA</w:t>
        </w:r>
      </w:hyperlink>
      <w:r w:rsidR="000C3ED9">
        <w:rPr>
          <w:sz w:val="22"/>
        </w:rPr>
        <w:t xml:space="preserve"> </w:t>
      </w:r>
      <w:r w:rsidR="000C3ED9" w:rsidRPr="00A51BCF">
        <w:rPr>
          <w:b/>
          <w:sz w:val="22"/>
        </w:rPr>
        <w:t>ponad 2,7 mln złotych</w:t>
      </w:r>
      <w:r w:rsidR="000C3ED9">
        <w:rPr>
          <w:sz w:val="22"/>
        </w:rPr>
        <w:t>.</w:t>
      </w:r>
    </w:p>
    <w:p w14:paraId="1C7F2D7D" w14:textId="4CADA193" w:rsidR="00FF00F8" w:rsidRPr="00FF00F8" w:rsidRDefault="00FF00F8" w:rsidP="00986C37">
      <w:pPr>
        <w:spacing w:after="100" w:afterAutospacing="1" w:line="372" w:lineRule="auto"/>
        <w:jc w:val="both"/>
        <w:rPr>
          <w:sz w:val="22"/>
        </w:rPr>
      </w:pPr>
      <w:r w:rsidRPr="00FF00F8">
        <w:rPr>
          <w:sz w:val="22"/>
        </w:rPr>
        <w:t xml:space="preserve">Stale powracającą kwestią w decyzjach Prezesa były niedozwolone postanowienia umowne dotyczące sposobu ustalania przez banki kursów walut we wzorcach umów kredytów hipotecznych odnoszących się do walut obcych. </w:t>
      </w:r>
      <w:r>
        <w:rPr>
          <w:sz w:val="22"/>
        </w:rPr>
        <w:t>Niezwykle ważny</w:t>
      </w:r>
      <w:r w:rsidRPr="00FF00F8">
        <w:rPr>
          <w:sz w:val="22"/>
        </w:rPr>
        <w:t xml:space="preserve"> z punktu widzenia ochrony konsumentów oraz praktyki orzeczniczej Prezesa UOKiK okazał się wyrok Trybunału Sprawiedliwości UE (sprawa C-260/18 Dziubak) z października 2019 r. Rozstrzygnięcie to ma zastosowanie do każdej umowy zawierającej klauzule niedozwolone, dlatego może mieć istotne znaczenie dla kredytobiorców przy dochodzeniu swoich roszczeń od banków przed sądami powszechnymi.</w:t>
      </w:r>
    </w:p>
    <w:p w14:paraId="6095D2A9" w14:textId="504C387E" w:rsidR="002B3A4D" w:rsidRDefault="00E71F4A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lastRenderedPageBreak/>
        <w:t xml:space="preserve">Prezes </w:t>
      </w:r>
      <w:r w:rsidR="006253FD" w:rsidRPr="00565760">
        <w:rPr>
          <w:sz w:val="22"/>
        </w:rPr>
        <w:t xml:space="preserve">UOKiK wszczął </w:t>
      </w:r>
      <w:r w:rsidR="00565760" w:rsidRPr="00A51BCF">
        <w:rPr>
          <w:b/>
          <w:sz w:val="22"/>
        </w:rPr>
        <w:t>47</w:t>
      </w:r>
      <w:r w:rsidR="006253FD" w:rsidRPr="00A51BCF">
        <w:rPr>
          <w:b/>
          <w:sz w:val="22"/>
        </w:rPr>
        <w:t xml:space="preserve"> postępowań w sprawie praktyk naruszających zbiorowe interesy konsumentów</w:t>
      </w:r>
      <w:r w:rsidR="006253FD" w:rsidRPr="00565760">
        <w:rPr>
          <w:sz w:val="22"/>
        </w:rPr>
        <w:t xml:space="preserve">, </w:t>
      </w:r>
      <w:r w:rsidR="006253FD" w:rsidRPr="00A51BCF">
        <w:rPr>
          <w:b/>
          <w:sz w:val="22"/>
        </w:rPr>
        <w:t>2</w:t>
      </w:r>
      <w:r w:rsidR="00565760" w:rsidRPr="00A51BCF">
        <w:rPr>
          <w:b/>
          <w:sz w:val="22"/>
        </w:rPr>
        <w:t>5</w:t>
      </w:r>
      <w:r w:rsidR="006253FD" w:rsidRPr="00A51BCF">
        <w:rPr>
          <w:b/>
          <w:sz w:val="22"/>
        </w:rPr>
        <w:t xml:space="preserve"> dotyczących uznania postanowień wzorca umowy za niedozwolone</w:t>
      </w:r>
      <w:r w:rsidR="006253FD" w:rsidRPr="00565760">
        <w:rPr>
          <w:sz w:val="22"/>
        </w:rPr>
        <w:t xml:space="preserve"> oraz </w:t>
      </w:r>
      <w:r w:rsidR="00565760" w:rsidRPr="00A51BCF">
        <w:rPr>
          <w:b/>
          <w:sz w:val="22"/>
        </w:rPr>
        <w:t>87</w:t>
      </w:r>
      <w:r w:rsidR="006253FD" w:rsidRPr="00A51BCF">
        <w:rPr>
          <w:b/>
          <w:sz w:val="22"/>
        </w:rPr>
        <w:t xml:space="preserve"> postępowań wyjaśniających</w:t>
      </w:r>
      <w:r w:rsidR="006253FD" w:rsidRPr="00565760">
        <w:rPr>
          <w:sz w:val="22"/>
        </w:rPr>
        <w:t xml:space="preserve">. Prezes </w:t>
      </w:r>
      <w:r>
        <w:rPr>
          <w:sz w:val="22"/>
        </w:rPr>
        <w:t>U</w:t>
      </w:r>
      <w:r w:rsidR="006253FD" w:rsidRPr="00565760">
        <w:rPr>
          <w:sz w:val="22"/>
        </w:rPr>
        <w:t>rzędu wydał </w:t>
      </w:r>
      <w:r w:rsidR="00565760">
        <w:rPr>
          <w:bCs/>
          <w:sz w:val="22"/>
        </w:rPr>
        <w:t>69</w:t>
      </w:r>
      <w:r w:rsidR="006253FD" w:rsidRPr="00565760">
        <w:rPr>
          <w:bCs/>
          <w:sz w:val="22"/>
        </w:rPr>
        <w:t xml:space="preserve"> decyzji dotyczących praktyk naruszających zbiorowe interesy konsumentów i </w:t>
      </w:r>
      <w:r w:rsidR="00565760">
        <w:rPr>
          <w:bCs/>
          <w:sz w:val="22"/>
        </w:rPr>
        <w:t>17</w:t>
      </w:r>
      <w:r w:rsidR="006253FD" w:rsidRPr="00565760">
        <w:rPr>
          <w:bCs/>
          <w:sz w:val="22"/>
        </w:rPr>
        <w:t xml:space="preserve"> w sprawach o uznanie postanowień wzorca umowy za niedozwolone</w:t>
      </w:r>
      <w:r w:rsidR="006253FD" w:rsidRPr="00565760">
        <w:rPr>
          <w:sz w:val="22"/>
        </w:rPr>
        <w:t xml:space="preserve">. Ponadto w </w:t>
      </w:r>
      <w:r w:rsidR="0037248C">
        <w:rPr>
          <w:sz w:val="22"/>
        </w:rPr>
        <w:t>18</w:t>
      </w:r>
      <w:r w:rsidR="0037248C" w:rsidRPr="00565760">
        <w:rPr>
          <w:sz w:val="22"/>
        </w:rPr>
        <w:t xml:space="preserve"> </w:t>
      </w:r>
      <w:r w:rsidR="006253FD" w:rsidRPr="00565760">
        <w:rPr>
          <w:sz w:val="22"/>
        </w:rPr>
        <w:t xml:space="preserve">przypadkach </w:t>
      </w:r>
      <w:r>
        <w:rPr>
          <w:sz w:val="22"/>
        </w:rPr>
        <w:t>przyjęto</w:t>
      </w:r>
      <w:r w:rsidR="006253FD" w:rsidRPr="00565760">
        <w:rPr>
          <w:sz w:val="22"/>
        </w:rPr>
        <w:t xml:space="preserve"> zobowiązanie przedsiębiorcy do zmiany praktyki. </w:t>
      </w:r>
      <w:r w:rsidR="006253FD" w:rsidRPr="00A51BCF">
        <w:rPr>
          <w:b/>
          <w:sz w:val="22"/>
        </w:rPr>
        <w:t>Kary finansowe wyniosły</w:t>
      </w:r>
      <w:r w:rsidR="00565760" w:rsidRPr="00A51BCF">
        <w:rPr>
          <w:b/>
          <w:sz w:val="22"/>
        </w:rPr>
        <w:t xml:space="preserve"> </w:t>
      </w:r>
      <w:r>
        <w:rPr>
          <w:b/>
          <w:sz w:val="22"/>
        </w:rPr>
        <w:t xml:space="preserve">łącznie </w:t>
      </w:r>
      <w:r w:rsidR="00565760" w:rsidRPr="00A51BCF">
        <w:rPr>
          <w:b/>
          <w:sz w:val="22"/>
        </w:rPr>
        <w:t>prawie</w:t>
      </w:r>
      <w:r w:rsidR="006253FD" w:rsidRPr="00A51BCF">
        <w:rPr>
          <w:b/>
          <w:sz w:val="22"/>
        </w:rPr>
        <w:t xml:space="preserve"> </w:t>
      </w:r>
      <w:r w:rsidR="00565760" w:rsidRPr="00A51BCF">
        <w:rPr>
          <w:b/>
          <w:sz w:val="22"/>
        </w:rPr>
        <w:t xml:space="preserve">240 </w:t>
      </w:r>
      <w:r w:rsidR="006253FD" w:rsidRPr="00A51BCF">
        <w:rPr>
          <w:b/>
          <w:sz w:val="22"/>
        </w:rPr>
        <w:t xml:space="preserve"> mln zł</w:t>
      </w:r>
      <w:r w:rsidR="006253FD" w:rsidRPr="00565760">
        <w:rPr>
          <w:sz w:val="22"/>
        </w:rPr>
        <w:t xml:space="preserve">. </w:t>
      </w:r>
      <w:r w:rsidR="00812939">
        <w:rPr>
          <w:sz w:val="22"/>
        </w:rPr>
        <w:t>P</w:t>
      </w:r>
      <w:r w:rsidR="008A05FA">
        <w:rPr>
          <w:sz w:val="22"/>
        </w:rPr>
        <w:t>odejmowaliśmy</w:t>
      </w:r>
      <w:r w:rsidR="008A05FA" w:rsidRPr="00565760">
        <w:rPr>
          <w:sz w:val="22"/>
        </w:rPr>
        <w:t xml:space="preserve"> </w:t>
      </w:r>
      <w:r w:rsidR="00812939">
        <w:rPr>
          <w:sz w:val="22"/>
        </w:rPr>
        <w:t xml:space="preserve">liczne </w:t>
      </w:r>
      <w:r w:rsidR="006253FD" w:rsidRPr="00565760">
        <w:rPr>
          <w:sz w:val="22"/>
        </w:rPr>
        <w:t xml:space="preserve">działania miękkie: </w:t>
      </w:r>
      <w:r>
        <w:rPr>
          <w:sz w:val="22"/>
        </w:rPr>
        <w:t>wystosowano</w:t>
      </w:r>
      <w:r w:rsidR="008A05FA">
        <w:rPr>
          <w:sz w:val="22"/>
        </w:rPr>
        <w:t xml:space="preserve"> aż </w:t>
      </w:r>
      <w:r w:rsidR="00565760">
        <w:rPr>
          <w:sz w:val="22"/>
        </w:rPr>
        <w:t>546</w:t>
      </w:r>
      <w:r w:rsidR="006253FD" w:rsidRPr="00565760">
        <w:rPr>
          <w:sz w:val="22"/>
        </w:rPr>
        <w:t xml:space="preserve"> wystąpień do przedsiębiorców o zmianę praktyki. Ponadto </w:t>
      </w:r>
      <w:r w:rsidR="00565760">
        <w:rPr>
          <w:sz w:val="22"/>
        </w:rPr>
        <w:t>809</w:t>
      </w:r>
      <w:r w:rsidR="006253FD" w:rsidRPr="00565760">
        <w:rPr>
          <w:sz w:val="22"/>
        </w:rPr>
        <w:t xml:space="preserve"> razy </w:t>
      </w:r>
      <w:r>
        <w:rPr>
          <w:sz w:val="22"/>
        </w:rPr>
        <w:t>wydano</w:t>
      </w:r>
      <w:r w:rsidR="006253FD" w:rsidRPr="00565760">
        <w:rPr>
          <w:sz w:val="22"/>
        </w:rPr>
        <w:t xml:space="preserve"> istotny pogląd</w:t>
      </w:r>
      <w:r>
        <w:rPr>
          <w:sz w:val="22"/>
        </w:rPr>
        <w:t xml:space="preserve"> w sprawie dla</w:t>
      </w:r>
      <w:r w:rsidR="006253FD" w:rsidRPr="00565760">
        <w:rPr>
          <w:sz w:val="22"/>
        </w:rPr>
        <w:t xml:space="preserve"> os</w:t>
      </w:r>
      <w:r>
        <w:rPr>
          <w:sz w:val="22"/>
        </w:rPr>
        <w:t>ób walczących</w:t>
      </w:r>
      <w:r w:rsidR="006253FD" w:rsidRPr="00565760">
        <w:rPr>
          <w:sz w:val="22"/>
        </w:rPr>
        <w:t xml:space="preserve"> o swoje prawa w sądzie.</w:t>
      </w:r>
    </w:p>
    <w:p w14:paraId="6EBF87A4" w14:textId="77777777" w:rsidR="000628EA" w:rsidRDefault="000628EA" w:rsidP="00986C37">
      <w:pPr>
        <w:spacing w:after="100" w:afterAutospacing="1" w:line="372" w:lineRule="auto"/>
        <w:jc w:val="both"/>
        <w:rPr>
          <w:b/>
          <w:sz w:val="22"/>
        </w:rPr>
      </w:pPr>
      <w:r w:rsidRPr="000628EA">
        <w:rPr>
          <w:b/>
          <w:sz w:val="22"/>
        </w:rPr>
        <w:t>Bezpieczeństwo produktów</w:t>
      </w:r>
    </w:p>
    <w:p w14:paraId="44C38E25" w14:textId="17A841AA" w:rsidR="000628EA" w:rsidRPr="000628EA" w:rsidRDefault="000628EA" w:rsidP="000628EA">
      <w:pPr>
        <w:spacing w:after="100" w:afterAutospacing="1" w:line="372" w:lineRule="auto"/>
        <w:jc w:val="both"/>
        <w:rPr>
          <w:sz w:val="22"/>
        </w:rPr>
      </w:pPr>
      <w:r w:rsidRPr="000628EA">
        <w:rPr>
          <w:sz w:val="22"/>
        </w:rPr>
        <w:t xml:space="preserve">Ochrona konsumentów obejmuje również bezpieczeństwo produktów. W </w:t>
      </w:r>
      <w:r>
        <w:rPr>
          <w:sz w:val="22"/>
        </w:rPr>
        <w:t>2019</w:t>
      </w:r>
      <w:r w:rsidRPr="000628EA">
        <w:rPr>
          <w:sz w:val="22"/>
        </w:rPr>
        <w:t xml:space="preserve"> roku </w:t>
      </w:r>
      <w:r w:rsidR="00E71F4A">
        <w:rPr>
          <w:sz w:val="22"/>
        </w:rPr>
        <w:t>Prezes Urzędu</w:t>
      </w:r>
      <w:r w:rsidRPr="000628EA">
        <w:rPr>
          <w:sz w:val="22"/>
        </w:rPr>
        <w:t xml:space="preserve"> </w:t>
      </w:r>
      <w:r w:rsidRPr="00A51BCF">
        <w:rPr>
          <w:b/>
          <w:sz w:val="22"/>
        </w:rPr>
        <w:t>wszczął </w:t>
      </w:r>
      <w:r w:rsidRPr="00A51BCF">
        <w:rPr>
          <w:b/>
          <w:bCs/>
          <w:sz w:val="22"/>
        </w:rPr>
        <w:t>56 </w:t>
      </w:r>
      <w:r w:rsidRPr="00A51BCF">
        <w:rPr>
          <w:b/>
          <w:sz w:val="22"/>
        </w:rPr>
        <w:t>postępowań</w:t>
      </w:r>
      <w:r w:rsidRPr="000628EA">
        <w:rPr>
          <w:sz w:val="22"/>
        </w:rPr>
        <w:t xml:space="preserve"> w tym zakresie i </w:t>
      </w:r>
      <w:r w:rsidRPr="00A51BCF">
        <w:rPr>
          <w:b/>
          <w:sz w:val="22"/>
        </w:rPr>
        <w:t>wydał</w:t>
      </w:r>
      <w:r w:rsidRPr="000628EA">
        <w:rPr>
          <w:sz w:val="22"/>
        </w:rPr>
        <w:t> </w:t>
      </w:r>
      <w:r w:rsidRPr="00A51BCF">
        <w:rPr>
          <w:b/>
          <w:bCs/>
          <w:sz w:val="22"/>
        </w:rPr>
        <w:t>45</w:t>
      </w:r>
      <w:r w:rsidRPr="00A51BCF">
        <w:rPr>
          <w:b/>
          <w:sz w:val="22"/>
        </w:rPr>
        <w:t> decyzji</w:t>
      </w:r>
      <w:r w:rsidRPr="000628EA">
        <w:rPr>
          <w:sz w:val="22"/>
        </w:rPr>
        <w:t xml:space="preserve">, przy czym </w:t>
      </w:r>
      <w:r>
        <w:rPr>
          <w:sz w:val="22"/>
        </w:rPr>
        <w:t>14</w:t>
      </w:r>
      <w:r w:rsidRPr="000628EA">
        <w:rPr>
          <w:sz w:val="22"/>
        </w:rPr>
        <w:t xml:space="preserve"> razy </w:t>
      </w:r>
      <w:r>
        <w:rPr>
          <w:sz w:val="22"/>
        </w:rPr>
        <w:t>nałożył na przedsiębiorców</w:t>
      </w:r>
      <w:r w:rsidRPr="000628EA">
        <w:rPr>
          <w:sz w:val="22"/>
        </w:rPr>
        <w:t xml:space="preserve"> kary pieniężne. Większość firm w trakcie postępowania usuwała zagrożenia lub eliminowała produkty niebezpieczne z rynku.</w:t>
      </w:r>
    </w:p>
    <w:p w14:paraId="1D310D1E" w14:textId="4C745C78" w:rsidR="000628EA" w:rsidRDefault="000628EA" w:rsidP="000628EA">
      <w:pPr>
        <w:spacing w:after="100" w:afterAutospacing="1" w:line="372" w:lineRule="auto"/>
        <w:jc w:val="both"/>
        <w:rPr>
          <w:sz w:val="22"/>
        </w:rPr>
      </w:pPr>
      <w:r w:rsidRPr="000628EA">
        <w:rPr>
          <w:sz w:val="22"/>
        </w:rPr>
        <w:t>UOKiK monitoruje również system kontroli wyrobów nieżywnościowych </w:t>
      </w:r>
      <w:r w:rsidRPr="000628EA">
        <w:rPr>
          <w:bCs/>
          <w:sz w:val="22"/>
        </w:rPr>
        <w:t>pod kątem ich zgodności z wymaganiami unijnymi</w:t>
      </w:r>
      <w:r w:rsidRPr="000628EA">
        <w:rPr>
          <w:sz w:val="22"/>
        </w:rPr>
        <w:t>. W 201</w:t>
      </w:r>
      <w:r>
        <w:rPr>
          <w:sz w:val="22"/>
        </w:rPr>
        <w:t>9</w:t>
      </w:r>
      <w:r w:rsidRPr="000628EA">
        <w:rPr>
          <w:sz w:val="22"/>
        </w:rPr>
        <w:t xml:space="preserve"> r. </w:t>
      </w:r>
      <w:r w:rsidR="00E71F4A" w:rsidRPr="00E71F4A">
        <w:rPr>
          <w:b/>
          <w:bCs/>
          <w:sz w:val="22"/>
        </w:rPr>
        <w:t>wszczęto</w:t>
      </w:r>
      <w:r w:rsidR="0037248C" w:rsidRPr="00A51BCF">
        <w:rPr>
          <w:b/>
          <w:sz w:val="22"/>
        </w:rPr>
        <w:t> </w:t>
      </w:r>
      <w:r w:rsidRPr="00A51BCF">
        <w:rPr>
          <w:b/>
          <w:bCs/>
          <w:sz w:val="22"/>
        </w:rPr>
        <w:t>264</w:t>
      </w:r>
      <w:r w:rsidRPr="00A51BCF">
        <w:rPr>
          <w:b/>
          <w:sz w:val="22"/>
        </w:rPr>
        <w:t> postępowania administracyjne i wyda</w:t>
      </w:r>
      <w:r w:rsidR="00E71F4A">
        <w:rPr>
          <w:b/>
          <w:sz w:val="22"/>
        </w:rPr>
        <w:t>no</w:t>
      </w:r>
      <w:r w:rsidRPr="00A51BCF">
        <w:rPr>
          <w:b/>
          <w:sz w:val="22"/>
        </w:rPr>
        <w:t> </w:t>
      </w:r>
      <w:r w:rsidRPr="00A51BCF">
        <w:rPr>
          <w:b/>
          <w:bCs/>
          <w:sz w:val="22"/>
        </w:rPr>
        <w:t>252</w:t>
      </w:r>
      <w:r w:rsidRPr="00A51BCF">
        <w:rPr>
          <w:b/>
          <w:sz w:val="22"/>
        </w:rPr>
        <w:t> decyzje</w:t>
      </w:r>
      <w:r w:rsidRPr="000628EA">
        <w:rPr>
          <w:sz w:val="22"/>
        </w:rPr>
        <w:t>.</w:t>
      </w:r>
    </w:p>
    <w:p w14:paraId="7DD0EC0C" w14:textId="77777777" w:rsidR="002D3643" w:rsidRPr="002D3643" w:rsidRDefault="002D3643" w:rsidP="002D3643">
      <w:pPr>
        <w:spacing w:after="100" w:afterAutospacing="1" w:line="372" w:lineRule="auto"/>
        <w:jc w:val="both"/>
        <w:rPr>
          <w:sz w:val="22"/>
        </w:rPr>
      </w:pPr>
      <w:r w:rsidRPr="002D3643">
        <w:rPr>
          <w:b/>
          <w:bCs/>
          <w:sz w:val="22"/>
        </w:rPr>
        <w:t>Inspekcja Handlowa</w:t>
      </w:r>
    </w:p>
    <w:p w14:paraId="52FC7262" w14:textId="6661B086" w:rsidR="002D3643" w:rsidRDefault="00E71F4A" w:rsidP="002D3643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Prezes </w:t>
      </w:r>
      <w:r w:rsidR="002D3643" w:rsidRPr="002D3643">
        <w:rPr>
          <w:sz w:val="22"/>
        </w:rPr>
        <w:t xml:space="preserve">UOKiK dba o bezpieczeństwo produktów w Polsce także poprzez nadzór nad Inspekcją Handlową. </w:t>
      </w:r>
      <w:r>
        <w:rPr>
          <w:sz w:val="22"/>
        </w:rPr>
        <w:t>Urząd</w:t>
      </w:r>
      <w:r w:rsidR="002D3643" w:rsidRPr="002D3643">
        <w:rPr>
          <w:sz w:val="22"/>
        </w:rPr>
        <w:t xml:space="preserve"> planuje, koordynuje i monitoruje kontrole prowadzone przez Wojewódzkie Inspektoraty Inspekcji Handlowej (WIIH), a także analizuje ich wyniki. W 201</w:t>
      </w:r>
      <w:r w:rsidR="000C08B8">
        <w:rPr>
          <w:sz w:val="22"/>
        </w:rPr>
        <w:t>9</w:t>
      </w:r>
      <w:r w:rsidR="002D3643" w:rsidRPr="002D3643">
        <w:rPr>
          <w:sz w:val="22"/>
        </w:rPr>
        <w:t xml:space="preserve"> r. Inspekcja Handlowa prowadziła </w:t>
      </w:r>
      <w:r w:rsidR="002D3643" w:rsidRPr="00A51BCF">
        <w:rPr>
          <w:bCs/>
          <w:sz w:val="22"/>
        </w:rPr>
        <w:t>30</w:t>
      </w:r>
      <w:r w:rsidR="002D3643" w:rsidRPr="008A05FA">
        <w:rPr>
          <w:sz w:val="22"/>
        </w:rPr>
        <w:t> ogólnokrajowych kontroli</w:t>
      </w:r>
      <w:r w:rsidR="000C08B8" w:rsidRPr="008A05FA">
        <w:rPr>
          <w:sz w:val="22"/>
        </w:rPr>
        <w:t xml:space="preserve"> – 19 z zakresu produktów żywnościowych</w:t>
      </w:r>
      <w:r w:rsidR="000C08B8">
        <w:rPr>
          <w:sz w:val="22"/>
        </w:rPr>
        <w:t xml:space="preserve"> oraz </w:t>
      </w:r>
      <w:r w:rsidR="000C08B8" w:rsidRPr="00A51BCF">
        <w:rPr>
          <w:b/>
          <w:sz w:val="22"/>
        </w:rPr>
        <w:t>11 z zakresu produktów nieżywnościowych</w:t>
      </w:r>
      <w:r w:rsidR="002D3643" w:rsidRPr="002D3643">
        <w:rPr>
          <w:sz w:val="22"/>
        </w:rPr>
        <w:t xml:space="preserve">. </w:t>
      </w:r>
      <w:r w:rsidR="00982A60" w:rsidRPr="002D3643">
        <w:rPr>
          <w:sz w:val="22"/>
        </w:rPr>
        <w:t>Przebada</w:t>
      </w:r>
      <w:r w:rsidR="00982A60">
        <w:rPr>
          <w:sz w:val="22"/>
        </w:rPr>
        <w:t>ła</w:t>
      </w:r>
      <w:r w:rsidR="00982A60" w:rsidRPr="002D3643">
        <w:rPr>
          <w:sz w:val="22"/>
        </w:rPr>
        <w:t xml:space="preserve"> </w:t>
      </w:r>
      <w:r w:rsidR="002D3643" w:rsidRPr="002D3643">
        <w:rPr>
          <w:sz w:val="22"/>
        </w:rPr>
        <w:t>m.in. </w:t>
      </w:r>
      <w:r w:rsidR="000C08B8">
        <w:rPr>
          <w:sz w:val="22"/>
        </w:rPr>
        <w:t>ciasta i wyroby ciastkarskie, oznakowanie warzy</w:t>
      </w:r>
      <w:r w:rsidR="008A05FA">
        <w:rPr>
          <w:sz w:val="22"/>
        </w:rPr>
        <w:t>w</w:t>
      </w:r>
      <w:r w:rsidR="000C08B8">
        <w:rPr>
          <w:sz w:val="22"/>
        </w:rPr>
        <w:t xml:space="preserve"> i owoców</w:t>
      </w:r>
      <w:r w:rsidR="0037248C">
        <w:rPr>
          <w:sz w:val="22"/>
        </w:rPr>
        <w:t xml:space="preserve"> krajem pochodzenia</w:t>
      </w:r>
      <w:r w:rsidR="000C08B8">
        <w:rPr>
          <w:sz w:val="22"/>
        </w:rPr>
        <w:t xml:space="preserve">, zabawki, </w:t>
      </w:r>
      <w:r w:rsidR="008A05FA">
        <w:rPr>
          <w:sz w:val="22"/>
        </w:rPr>
        <w:t xml:space="preserve">a także </w:t>
      </w:r>
      <w:r w:rsidR="000C08B8">
        <w:rPr>
          <w:sz w:val="22"/>
        </w:rPr>
        <w:t>etykiety energetyczne.</w:t>
      </w:r>
    </w:p>
    <w:p w14:paraId="39BCF457" w14:textId="77777777" w:rsidR="000C08B8" w:rsidRDefault="000C08B8" w:rsidP="002D3643">
      <w:pPr>
        <w:spacing w:after="100" w:afterAutospacing="1" w:line="372" w:lineRule="auto"/>
        <w:jc w:val="both"/>
        <w:rPr>
          <w:b/>
          <w:sz w:val="22"/>
        </w:rPr>
      </w:pPr>
      <w:r w:rsidRPr="000C08B8">
        <w:rPr>
          <w:b/>
          <w:sz w:val="22"/>
        </w:rPr>
        <w:t>Jakość paliw</w:t>
      </w:r>
    </w:p>
    <w:p w14:paraId="20F6862C" w14:textId="3BA46A60" w:rsidR="00B73F22" w:rsidRDefault="00B55564" w:rsidP="00986C37">
      <w:pPr>
        <w:spacing w:after="100" w:afterAutospacing="1" w:line="372" w:lineRule="auto"/>
        <w:jc w:val="both"/>
        <w:rPr>
          <w:sz w:val="22"/>
        </w:rPr>
      </w:pPr>
      <w:r w:rsidRPr="00B55564">
        <w:rPr>
          <w:sz w:val="22"/>
        </w:rPr>
        <w:lastRenderedPageBreak/>
        <w:t>UOKiK jest odpowiedzialny również za zarządzanie systemem monitorowania i kontrolowania jakości paliw. </w:t>
      </w:r>
      <w:hyperlink r:id="rId15" w:history="1">
        <w:r w:rsidRPr="000C3ED9">
          <w:rPr>
            <w:rStyle w:val="Hipercze"/>
            <w:sz w:val="22"/>
          </w:rPr>
          <w:t>Wyniki kontroli Inspekcji Handlowej prowadzonych w 2019 r.</w:t>
        </w:r>
      </w:hyperlink>
      <w:r w:rsidRPr="00B55564">
        <w:rPr>
          <w:sz w:val="22"/>
        </w:rPr>
        <w:t xml:space="preserve"> wykazały, że </w:t>
      </w:r>
      <w:r w:rsidRPr="00A51BCF">
        <w:rPr>
          <w:b/>
          <w:sz w:val="22"/>
        </w:rPr>
        <w:t>częściej kwestionowana była jakość paliw ciekłych niż LPG</w:t>
      </w:r>
      <w:r w:rsidRPr="00B55564">
        <w:rPr>
          <w:sz w:val="22"/>
        </w:rPr>
        <w:t>, jednocześnie wyniki kontroli były nieznacznie lepsze niż w roku 201</w:t>
      </w:r>
      <w:r>
        <w:rPr>
          <w:sz w:val="22"/>
        </w:rPr>
        <w:t>8</w:t>
      </w:r>
      <w:r w:rsidRPr="00B55564">
        <w:rPr>
          <w:sz w:val="22"/>
        </w:rPr>
        <w:t xml:space="preserve">. W przypadku benzyny i oleju napędowego </w:t>
      </w:r>
      <w:r w:rsidRPr="00A51BCF">
        <w:rPr>
          <w:b/>
          <w:sz w:val="22"/>
        </w:rPr>
        <w:t>tylko </w:t>
      </w:r>
      <w:r w:rsidRPr="008A05FA">
        <w:rPr>
          <w:b/>
          <w:bCs/>
          <w:sz w:val="22"/>
        </w:rPr>
        <w:t>1,37</w:t>
      </w:r>
      <w:r w:rsidRPr="00A51BCF">
        <w:rPr>
          <w:b/>
          <w:sz w:val="22"/>
        </w:rPr>
        <w:t> proc. próbek nie spełniało wymagań jakościowych</w:t>
      </w:r>
      <w:r w:rsidR="008A05FA">
        <w:rPr>
          <w:sz w:val="22"/>
        </w:rPr>
        <w:t>,</w:t>
      </w:r>
      <w:r w:rsidR="00982A60">
        <w:rPr>
          <w:sz w:val="22"/>
        </w:rPr>
        <w:t xml:space="preserve"> </w:t>
      </w:r>
      <w:r>
        <w:rPr>
          <w:sz w:val="22"/>
        </w:rPr>
        <w:t>natomiast w prz</w:t>
      </w:r>
      <w:r w:rsidR="008A05FA">
        <w:rPr>
          <w:sz w:val="22"/>
        </w:rPr>
        <w:t>y</w:t>
      </w:r>
      <w:r>
        <w:rPr>
          <w:sz w:val="22"/>
        </w:rPr>
        <w:t xml:space="preserve">padku </w:t>
      </w:r>
      <w:r w:rsidRPr="00B55564">
        <w:rPr>
          <w:sz w:val="22"/>
        </w:rPr>
        <w:t>gazu skroplonego (LPG)</w:t>
      </w:r>
      <w:r>
        <w:rPr>
          <w:sz w:val="22"/>
        </w:rPr>
        <w:t xml:space="preserve"> było to </w:t>
      </w:r>
      <w:r w:rsidRPr="00A51BCF">
        <w:rPr>
          <w:b/>
          <w:sz w:val="22"/>
        </w:rPr>
        <w:t>0,6 proc</w:t>
      </w:r>
      <w:r>
        <w:rPr>
          <w:sz w:val="22"/>
        </w:rPr>
        <w:t xml:space="preserve">. </w:t>
      </w:r>
    </w:p>
    <w:p w14:paraId="2C861449" w14:textId="77777777" w:rsidR="00B55564" w:rsidRDefault="00B55564" w:rsidP="00986C37">
      <w:pPr>
        <w:spacing w:after="100" w:afterAutospacing="1" w:line="372" w:lineRule="auto"/>
        <w:jc w:val="both"/>
        <w:rPr>
          <w:b/>
          <w:sz w:val="22"/>
        </w:rPr>
      </w:pPr>
      <w:r w:rsidRPr="00B55564">
        <w:rPr>
          <w:b/>
          <w:sz w:val="22"/>
        </w:rPr>
        <w:t>LEGISLACJA</w:t>
      </w:r>
    </w:p>
    <w:p w14:paraId="2EC5073E" w14:textId="2F7AA678" w:rsidR="00B55564" w:rsidRPr="00B55564" w:rsidRDefault="00B55564" w:rsidP="00B55564">
      <w:pPr>
        <w:spacing w:after="100" w:afterAutospacing="1" w:line="372" w:lineRule="auto"/>
        <w:jc w:val="both"/>
        <w:rPr>
          <w:sz w:val="22"/>
        </w:rPr>
      </w:pPr>
      <w:r w:rsidRPr="00B55564">
        <w:rPr>
          <w:sz w:val="22"/>
        </w:rPr>
        <w:t>UOKiK jako organ administracji centralnej angażuje się także w tworzenie skutecznych regulacji prawnych. W 201</w:t>
      </w:r>
      <w:r w:rsidR="00530782">
        <w:rPr>
          <w:sz w:val="22"/>
        </w:rPr>
        <w:t>9</w:t>
      </w:r>
      <w:r w:rsidRPr="00B55564">
        <w:rPr>
          <w:sz w:val="22"/>
        </w:rPr>
        <w:t xml:space="preserve"> r. </w:t>
      </w:r>
      <w:r w:rsidRPr="00530782">
        <w:rPr>
          <w:b/>
          <w:sz w:val="22"/>
        </w:rPr>
        <w:t>p</w:t>
      </w:r>
      <w:r w:rsidRPr="00530782">
        <w:rPr>
          <w:b/>
          <w:bCs/>
          <w:sz w:val="22"/>
        </w:rPr>
        <w:t xml:space="preserve">rzeanalizowaliśmy łącznie </w:t>
      </w:r>
      <w:r w:rsidR="00530782">
        <w:rPr>
          <w:b/>
          <w:bCs/>
          <w:sz w:val="22"/>
        </w:rPr>
        <w:t>1255</w:t>
      </w:r>
      <w:r w:rsidRPr="00530782">
        <w:rPr>
          <w:b/>
          <w:bCs/>
          <w:sz w:val="22"/>
        </w:rPr>
        <w:t xml:space="preserve"> projektów</w:t>
      </w:r>
      <w:r w:rsidR="0037248C">
        <w:rPr>
          <w:b/>
          <w:bCs/>
          <w:sz w:val="22"/>
        </w:rPr>
        <w:t xml:space="preserve"> aktów prawnych</w:t>
      </w:r>
      <w:r w:rsidRPr="00530782">
        <w:rPr>
          <w:b/>
          <w:bCs/>
          <w:sz w:val="22"/>
        </w:rPr>
        <w:t xml:space="preserve"> oraz stanowisk do projektów sejmowych</w:t>
      </w:r>
      <w:r w:rsidRPr="00B55564">
        <w:rPr>
          <w:sz w:val="22"/>
        </w:rPr>
        <w:t>, aby zaopiniować je pod względem potencjalnego wpływu na konkurencję i sytuację konsumentów.</w:t>
      </w:r>
    </w:p>
    <w:p w14:paraId="57B39D61" w14:textId="592E585A" w:rsidR="00B55564" w:rsidRPr="00B55564" w:rsidRDefault="00B55564" w:rsidP="00B55564">
      <w:pPr>
        <w:spacing w:after="100" w:afterAutospacing="1" w:line="372" w:lineRule="auto"/>
        <w:jc w:val="both"/>
        <w:rPr>
          <w:sz w:val="22"/>
        </w:rPr>
      </w:pPr>
      <w:r w:rsidRPr="00B55564">
        <w:rPr>
          <w:sz w:val="22"/>
        </w:rPr>
        <w:t>Sprawozdanie z działalności Urzędu Ochrony Konkurencji i Konsumentów w 201</w:t>
      </w:r>
      <w:r w:rsidR="00EB685B">
        <w:rPr>
          <w:sz w:val="22"/>
        </w:rPr>
        <w:t>9</w:t>
      </w:r>
      <w:r w:rsidRPr="00B55564">
        <w:rPr>
          <w:sz w:val="22"/>
        </w:rPr>
        <w:t xml:space="preserve"> r. można znaleźć na </w:t>
      </w:r>
      <w:hyperlink r:id="rId16" w:history="1">
        <w:r w:rsidRPr="00B31945">
          <w:rPr>
            <w:rStyle w:val="Hipercze"/>
            <w:sz w:val="22"/>
          </w:rPr>
          <w:t xml:space="preserve">stronie internetowej </w:t>
        </w:r>
        <w:proofErr w:type="spellStart"/>
        <w:r w:rsidRPr="00B31945">
          <w:rPr>
            <w:rStyle w:val="Hipercze"/>
            <w:sz w:val="22"/>
          </w:rPr>
          <w:t>UOKiK</w:t>
        </w:r>
        <w:proofErr w:type="spellEnd"/>
        <w:r w:rsidRPr="00B31945">
          <w:rPr>
            <w:rStyle w:val="Hipercze"/>
            <w:sz w:val="22"/>
          </w:rPr>
          <w:t>.</w:t>
        </w:r>
      </w:hyperlink>
      <w:r w:rsidR="00E71F4A">
        <w:rPr>
          <w:sz w:val="22"/>
        </w:rPr>
        <w:t xml:space="preserve"> </w:t>
      </w:r>
    </w:p>
    <w:p w14:paraId="20A9737F" w14:textId="77777777" w:rsidR="00B55564" w:rsidRPr="00B55564" w:rsidRDefault="00B55564" w:rsidP="00986C37">
      <w:pPr>
        <w:spacing w:after="100" w:afterAutospacing="1" w:line="372" w:lineRule="auto"/>
        <w:jc w:val="both"/>
        <w:rPr>
          <w:b/>
          <w:sz w:val="22"/>
        </w:rPr>
      </w:pPr>
    </w:p>
    <w:sectPr w:rsidR="00B55564" w:rsidRPr="00B55564" w:rsidSect="00240013">
      <w:headerReference w:type="default" r:id="rId17"/>
      <w:footerReference w:type="default" r:id="rId18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42120" w14:textId="77777777" w:rsidR="00482949" w:rsidRDefault="00482949">
      <w:r>
        <w:separator/>
      </w:r>
    </w:p>
  </w:endnote>
  <w:endnote w:type="continuationSeparator" w:id="0">
    <w:p w14:paraId="25393B79" w14:textId="77777777" w:rsidR="00482949" w:rsidRDefault="0048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F419F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266390" wp14:editId="6DC6678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00545CE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5BC5D" w14:textId="77777777" w:rsidR="00482949" w:rsidRDefault="00482949">
      <w:r>
        <w:separator/>
      </w:r>
    </w:p>
  </w:footnote>
  <w:footnote w:type="continuationSeparator" w:id="0">
    <w:p w14:paraId="3D63EE3C" w14:textId="77777777" w:rsidR="00482949" w:rsidRDefault="00482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53DD9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A69F3A2" wp14:editId="6DB454CE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42F96"/>
    <w:rsid w:val="000628EA"/>
    <w:rsid w:val="000651E9"/>
    <w:rsid w:val="00073AA7"/>
    <w:rsid w:val="000A74FA"/>
    <w:rsid w:val="000B149D"/>
    <w:rsid w:val="000B1AC5"/>
    <w:rsid w:val="000B7247"/>
    <w:rsid w:val="000C08B8"/>
    <w:rsid w:val="000C3ED9"/>
    <w:rsid w:val="000F6AA3"/>
    <w:rsid w:val="0010559C"/>
    <w:rsid w:val="00107844"/>
    <w:rsid w:val="00120FBD"/>
    <w:rsid w:val="0012424D"/>
    <w:rsid w:val="0013159A"/>
    <w:rsid w:val="00135455"/>
    <w:rsid w:val="00143310"/>
    <w:rsid w:val="00144E9C"/>
    <w:rsid w:val="00152247"/>
    <w:rsid w:val="00161094"/>
    <w:rsid w:val="00163DF9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C1FAD"/>
    <w:rsid w:val="001E188E"/>
    <w:rsid w:val="001E4F92"/>
    <w:rsid w:val="001F227E"/>
    <w:rsid w:val="001F4A73"/>
    <w:rsid w:val="001F6427"/>
    <w:rsid w:val="00205580"/>
    <w:rsid w:val="002157BB"/>
    <w:rsid w:val="002262B5"/>
    <w:rsid w:val="0023138D"/>
    <w:rsid w:val="00240013"/>
    <w:rsid w:val="0024118E"/>
    <w:rsid w:val="00241BAC"/>
    <w:rsid w:val="00260382"/>
    <w:rsid w:val="00266281"/>
    <w:rsid w:val="00266CB4"/>
    <w:rsid w:val="00267DD1"/>
    <w:rsid w:val="002801AA"/>
    <w:rsid w:val="00287AAE"/>
    <w:rsid w:val="00295B34"/>
    <w:rsid w:val="002A00FA"/>
    <w:rsid w:val="002A5D69"/>
    <w:rsid w:val="002B1DBF"/>
    <w:rsid w:val="002B3A4D"/>
    <w:rsid w:val="002C0D5D"/>
    <w:rsid w:val="002C692D"/>
    <w:rsid w:val="002C6ABE"/>
    <w:rsid w:val="002D3643"/>
    <w:rsid w:val="002E388C"/>
    <w:rsid w:val="002F1BF3"/>
    <w:rsid w:val="002F4D43"/>
    <w:rsid w:val="003056C6"/>
    <w:rsid w:val="00311B14"/>
    <w:rsid w:val="00324306"/>
    <w:rsid w:val="003278D6"/>
    <w:rsid w:val="003303F0"/>
    <w:rsid w:val="0034059B"/>
    <w:rsid w:val="00346816"/>
    <w:rsid w:val="0035019C"/>
    <w:rsid w:val="00360248"/>
    <w:rsid w:val="00366A46"/>
    <w:rsid w:val="0037248C"/>
    <w:rsid w:val="00377A0D"/>
    <w:rsid w:val="0038677D"/>
    <w:rsid w:val="003D3FF4"/>
    <w:rsid w:val="003D4CB5"/>
    <w:rsid w:val="003D657A"/>
    <w:rsid w:val="003D7161"/>
    <w:rsid w:val="003E3F9D"/>
    <w:rsid w:val="003E69E5"/>
    <w:rsid w:val="0040748E"/>
    <w:rsid w:val="00412206"/>
    <w:rsid w:val="004252AC"/>
    <w:rsid w:val="00427E08"/>
    <w:rsid w:val="004349BA"/>
    <w:rsid w:val="0043575C"/>
    <w:rsid w:val="004365C7"/>
    <w:rsid w:val="004425B7"/>
    <w:rsid w:val="00444A85"/>
    <w:rsid w:val="00460FE3"/>
    <w:rsid w:val="00462CFA"/>
    <w:rsid w:val="00482949"/>
    <w:rsid w:val="00486DB1"/>
    <w:rsid w:val="00493E10"/>
    <w:rsid w:val="004972E8"/>
    <w:rsid w:val="004C0F9E"/>
    <w:rsid w:val="004C1243"/>
    <w:rsid w:val="004C5C26"/>
    <w:rsid w:val="004F7E99"/>
    <w:rsid w:val="005003F9"/>
    <w:rsid w:val="0050417B"/>
    <w:rsid w:val="005133CE"/>
    <w:rsid w:val="00521BA3"/>
    <w:rsid w:val="00523E0D"/>
    <w:rsid w:val="00525588"/>
    <w:rsid w:val="0052710E"/>
    <w:rsid w:val="00530782"/>
    <w:rsid w:val="005442FC"/>
    <w:rsid w:val="0055631D"/>
    <w:rsid w:val="00565244"/>
    <w:rsid w:val="00565760"/>
    <w:rsid w:val="00593935"/>
    <w:rsid w:val="005973FD"/>
    <w:rsid w:val="00597C68"/>
    <w:rsid w:val="005A382B"/>
    <w:rsid w:val="005A4047"/>
    <w:rsid w:val="005C0D39"/>
    <w:rsid w:val="005C6232"/>
    <w:rsid w:val="005D6F7A"/>
    <w:rsid w:val="005E5B88"/>
    <w:rsid w:val="005E78EE"/>
    <w:rsid w:val="005F139F"/>
    <w:rsid w:val="005F1EBD"/>
    <w:rsid w:val="006063D0"/>
    <w:rsid w:val="00613C45"/>
    <w:rsid w:val="00615A6C"/>
    <w:rsid w:val="006253FD"/>
    <w:rsid w:val="0063316E"/>
    <w:rsid w:val="00633D4E"/>
    <w:rsid w:val="0063526F"/>
    <w:rsid w:val="00637E86"/>
    <w:rsid w:val="006422DE"/>
    <w:rsid w:val="006439FA"/>
    <w:rsid w:val="0067485D"/>
    <w:rsid w:val="006A2065"/>
    <w:rsid w:val="006A3D88"/>
    <w:rsid w:val="006A4A7A"/>
    <w:rsid w:val="006B0848"/>
    <w:rsid w:val="006B733D"/>
    <w:rsid w:val="006B73E2"/>
    <w:rsid w:val="006C34AE"/>
    <w:rsid w:val="006C67AF"/>
    <w:rsid w:val="006D3DC5"/>
    <w:rsid w:val="006F143B"/>
    <w:rsid w:val="007039EC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514AD"/>
    <w:rsid w:val="0075524D"/>
    <w:rsid w:val="007560B0"/>
    <w:rsid w:val="007627D7"/>
    <w:rsid w:val="00771995"/>
    <w:rsid w:val="00776C4F"/>
    <w:rsid w:val="007838E4"/>
    <w:rsid w:val="007846DC"/>
    <w:rsid w:val="007A19D8"/>
    <w:rsid w:val="007C297F"/>
    <w:rsid w:val="007E36E4"/>
    <w:rsid w:val="007F0ACE"/>
    <w:rsid w:val="00800F0E"/>
    <w:rsid w:val="00804024"/>
    <w:rsid w:val="00812939"/>
    <w:rsid w:val="00815D4B"/>
    <w:rsid w:val="0081753E"/>
    <w:rsid w:val="0085010E"/>
    <w:rsid w:val="0085454F"/>
    <w:rsid w:val="0087354F"/>
    <w:rsid w:val="00896985"/>
    <w:rsid w:val="008A05FA"/>
    <w:rsid w:val="008C53D0"/>
    <w:rsid w:val="008D527A"/>
    <w:rsid w:val="008D56DA"/>
    <w:rsid w:val="008D5771"/>
    <w:rsid w:val="008F472E"/>
    <w:rsid w:val="00902556"/>
    <w:rsid w:val="00902D8B"/>
    <w:rsid w:val="0090338C"/>
    <w:rsid w:val="0091048E"/>
    <w:rsid w:val="00915501"/>
    <w:rsid w:val="00924ABC"/>
    <w:rsid w:val="00940E8F"/>
    <w:rsid w:val="0095309C"/>
    <w:rsid w:val="009652F2"/>
    <w:rsid w:val="009719ED"/>
    <w:rsid w:val="00982A60"/>
    <w:rsid w:val="00983D7C"/>
    <w:rsid w:val="00986C37"/>
    <w:rsid w:val="00997528"/>
    <w:rsid w:val="0099796A"/>
    <w:rsid w:val="009A366B"/>
    <w:rsid w:val="009C1346"/>
    <w:rsid w:val="009D05C8"/>
    <w:rsid w:val="009E3C0B"/>
    <w:rsid w:val="00A030C8"/>
    <w:rsid w:val="00A13244"/>
    <w:rsid w:val="00A14123"/>
    <w:rsid w:val="00A239AA"/>
    <w:rsid w:val="00A37362"/>
    <w:rsid w:val="00A439E8"/>
    <w:rsid w:val="00A45753"/>
    <w:rsid w:val="00A51BCF"/>
    <w:rsid w:val="00A53423"/>
    <w:rsid w:val="00A62659"/>
    <w:rsid w:val="00A65F20"/>
    <w:rsid w:val="00A76293"/>
    <w:rsid w:val="00A77DA2"/>
    <w:rsid w:val="00A85D9D"/>
    <w:rsid w:val="00A92C4C"/>
    <w:rsid w:val="00AA602D"/>
    <w:rsid w:val="00AB572D"/>
    <w:rsid w:val="00AD6C68"/>
    <w:rsid w:val="00AE2923"/>
    <w:rsid w:val="00AE66CE"/>
    <w:rsid w:val="00AE7F9D"/>
    <w:rsid w:val="00AF1794"/>
    <w:rsid w:val="00B028F7"/>
    <w:rsid w:val="00B2200C"/>
    <w:rsid w:val="00B22863"/>
    <w:rsid w:val="00B31945"/>
    <w:rsid w:val="00B41502"/>
    <w:rsid w:val="00B51024"/>
    <w:rsid w:val="00B512B5"/>
    <w:rsid w:val="00B55564"/>
    <w:rsid w:val="00B60CD8"/>
    <w:rsid w:val="00B60F9C"/>
    <w:rsid w:val="00B6769E"/>
    <w:rsid w:val="00B708CB"/>
    <w:rsid w:val="00B73F22"/>
    <w:rsid w:val="00B76F9A"/>
    <w:rsid w:val="00B810B2"/>
    <w:rsid w:val="00B84A9B"/>
    <w:rsid w:val="00BA26F7"/>
    <w:rsid w:val="00BA79F0"/>
    <w:rsid w:val="00BB24CE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17F67"/>
    <w:rsid w:val="00C21071"/>
    <w:rsid w:val="00C2398C"/>
    <w:rsid w:val="00C25569"/>
    <w:rsid w:val="00C27366"/>
    <w:rsid w:val="00C63AA8"/>
    <w:rsid w:val="00C7783C"/>
    <w:rsid w:val="00C81210"/>
    <w:rsid w:val="00C84231"/>
    <w:rsid w:val="00CA6B58"/>
    <w:rsid w:val="00CB1AE6"/>
    <w:rsid w:val="00CB3ED4"/>
    <w:rsid w:val="00CB3F86"/>
    <w:rsid w:val="00CD34F0"/>
    <w:rsid w:val="00CE0954"/>
    <w:rsid w:val="00CE25BD"/>
    <w:rsid w:val="00CF11F7"/>
    <w:rsid w:val="00D1323F"/>
    <w:rsid w:val="00D202BA"/>
    <w:rsid w:val="00D251AC"/>
    <w:rsid w:val="00D43766"/>
    <w:rsid w:val="00D47CCF"/>
    <w:rsid w:val="00D525D6"/>
    <w:rsid w:val="00D6457B"/>
    <w:rsid w:val="00D66DEC"/>
    <w:rsid w:val="00D71A41"/>
    <w:rsid w:val="00D768A4"/>
    <w:rsid w:val="00D92F52"/>
    <w:rsid w:val="00DA753F"/>
    <w:rsid w:val="00DA7D51"/>
    <w:rsid w:val="00DC182C"/>
    <w:rsid w:val="00DC5754"/>
    <w:rsid w:val="00DD34A3"/>
    <w:rsid w:val="00DD6056"/>
    <w:rsid w:val="00DE7C6A"/>
    <w:rsid w:val="00DF2857"/>
    <w:rsid w:val="00DF782B"/>
    <w:rsid w:val="00E03AEF"/>
    <w:rsid w:val="00E102DE"/>
    <w:rsid w:val="00E24825"/>
    <w:rsid w:val="00E42093"/>
    <w:rsid w:val="00E522AD"/>
    <w:rsid w:val="00E64103"/>
    <w:rsid w:val="00E71F4A"/>
    <w:rsid w:val="00E74719"/>
    <w:rsid w:val="00E76CD1"/>
    <w:rsid w:val="00EB4CF6"/>
    <w:rsid w:val="00EB685B"/>
    <w:rsid w:val="00EE4AD8"/>
    <w:rsid w:val="00F139AC"/>
    <w:rsid w:val="00F21EAC"/>
    <w:rsid w:val="00F3243D"/>
    <w:rsid w:val="00F423F8"/>
    <w:rsid w:val="00F46D0D"/>
    <w:rsid w:val="00F63C16"/>
    <w:rsid w:val="00F8138E"/>
    <w:rsid w:val="00F92B59"/>
    <w:rsid w:val="00F948BC"/>
    <w:rsid w:val="00F960CF"/>
    <w:rsid w:val="00FA10A3"/>
    <w:rsid w:val="00FA1226"/>
    <w:rsid w:val="00FD09D8"/>
    <w:rsid w:val="00FF00F8"/>
    <w:rsid w:val="00FF1EBC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E0026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program_lagodzenia_kar2.php" TargetMode="External"/><Relationship Id="rId13" Type="http://schemas.openxmlformats.org/officeDocument/2006/relationships/hyperlink" Target="https://www.uokik.gov.pl/aktualnosci.php?news_id=1567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okik.gov.pl/download.php?id=19486" TargetMode="External"/><Relationship Id="rId12" Type="http://schemas.openxmlformats.org/officeDocument/2006/relationships/hyperlink" Target="https://uokik.gov.pl/informacje_ogolne2.ph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uokik.gov.pl/download.php?id=1948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okik.gov.pl/aktualnosci.php?news_id=1581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okik.gov.pl/aktualnosci.php?news_id=16467" TargetMode="External"/><Relationship Id="rId10" Type="http://schemas.openxmlformats.org/officeDocument/2006/relationships/hyperlink" Target="https://konkurencja.uokik.gov.pl/sygnalist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port.whistleb.com/pl/uokik" TargetMode="External"/><Relationship Id="rId14" Type="http://schemas.openxmlformats.org/officeDocument/2006/relationships/hyperlink" Target="https://www.uokik.gov.pl/aktualnosci.php?news_id=15616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Użytkownik systemu Windows</cp:lastModifiedBy>
  <cp:revision>5</cp:revision>
  <cp:lastPrinted>2019-03-06T14:11:00Z</cp:lastPrinted>
  <dcterms:created xsi:type="dcterms:W3CDTF">2021-01-13T07:39:00Z</dcterms:created>
  <dcterms:modified xsi:type="dcterms:W3CDTF">2021-01-14T07:39:00Z</dcterms:modified>
</cp:coreProperties>
</file>